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R4-2402520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Feb</w:t>
      </w:r>
      <w:r>
        <w:rPr>
          <w:rFonts w:ascii="Arial" w:hAnsi="Arial" w:cs="Arial"/>
          <w:b/>
          <w:sz w:val="24"/>
          <w:szCs w:val="24"/>
        </w:rPr>
        <w:t xml:space="preserve"> </w:t>
      </w:r>
      <w:r>
        <w:rPr>
          <w:rFonts w:hint="eastAsia" w:ascii="Arial" w:hAnsi="Arial" w:cs="Arial"/>
          <w:b/>
          <w:sz w:val="24"/>
          <w:szCs w:val="24"/>
          <w:lang w:val="en-US" w:eastAsia="zh-CN"/>
        </w:rPr>
        <w:t>26</w:t>
      </w:r>
      <w:r>
        <w:rPr>
          <w:rFonts w:ascii="Arial" w:hAnsi="Arial" w:cs="Arial"/>
          <w:b/>
          <w:sz w:val="24"/>
          <w:szCs w:val="24"/>
        </w:rPr>
        <w:t xml:space="preserve"> – </w:t>
      </w:r>
      <w:r>
        <w:rPr>
          <w:rFonts w:hint="eastAsia" w:ascii="Arial" w:hAnsi="Arial" w:cs="Arial"/>
          <w:b/>
          <w:sz w:val="24"/>
          <w:szCs w:val="24"/>
          <w:lang w:val="en-US" w:eastAsia="zh-CN"/>
        </w:rPr>
        <w:t>Mar</w:t>
      </w:r>
      <w:r>
        <w:rPr>
          <w:rFonts w:ascii="Arial" w:hAnsi="Arial" w:cs="Arial"/>
          <w:b/>
          <w:sz w:val="24"/>
          <w:szCs w:val="24"/>
        </w:rPr>
        <w:t xml:space="preserve"> </w:t>
      </w:r>
      <w:r>
        <w:rPr>
          <w:rFonts w:hint="eastAsia" w:ascii="Arial" w:hAnsi="Arial" w:cs="Arial"/>
          <w:b/>
          <w:sz w:val="24"/>
          <w:szCs w:val="24"/>
        </w:rPr>
        <w:t>1, 202</w:t>
      </w:r>
      <w:r>
        <w:rPr>
          <w:rFonts w:hint="eastAsia" w:ascii="Arial" w:hAnsi="Arial" w:cs="Arial"/>
          <w:b/>
          <w:sz w:val="24"/>
          <w:szCs w:val="24"/>
          <w:lang w:val="en-US" w:eastAsia="zh-CN"/>
        </w:rPr>
        <w:t>4</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18</w:t>
      </w:r>
      <w:r>
        <w:rPr>
          <w:rFonts w:hint="eastAsia" w:ascii="Arial" w:hAnsi="Arial" w:cs="Arial"/>
          <w:b/>
          <w:sz w:val="24"/>
          <w:szCs w:val="24"/>
        </w:rPr>
        <w:t>.</w:t>
      </w:r>
      <w:r>
        <w:rPr>
          <w:rFonts w:hint="eastAsia" w:ascii="Arial" w:hAnsi="Arial" w:cs="Arial"/>
          <w:b/>
          <w:sz w:val="24"/>
          <w:szCs w:val="24"/>
          <w:lang w:val="en-US" w:eastAsia="zh-CN"/>
        </w:rPr>
        <w:t>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SAN RF 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6"/>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 xml:space="preserve">In the previous meetings, we have some discussion on NTN SAN RF requirement definition and reached some progress. In this contribution, we shared some further views on remaining issues left for NTN SAN in Ka-band.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4"/>
              <w:numPr>
                <w:ilvl w:val="0"/>
                <w:numId w:val="2"/>
              </w:numPr>
            </w:pPr>
            <w:r>
              <w:t xml:space="preserve">SAN type 2-O classes </w:t>
            </w:r>
          </w:p>
          <w:p>
            <w:pPr>
              <w:ind w:left="426"/>
              <w:rPr>
                <w:b/>
                <w:bCs/>
                <w:iCs/>
                <w:sz w:val="22"/>
                <w:szCs w:val="22"/>
              </w:rPr>
            </w:pPr>
            <w:r>
              <w:rPr>
                <w:b/>
                <w:bCs/>
                <w:iCs/>
                <w:sz w:val="22"/>
                <w:szCs w:val="22"/>
              </w:rPr>
              <w:t xml:space="preserve">Agreement: </w:t>
            </w:r>
          </w:p>
          <w:p>
            <w:pPr>
              <w:spacing w:after="120"/>
              <w:ind w:left="420" w:firstLine="420"/>
              <w:rPr>
                <w:b/>
                <w:bCs/>
                <w:iCs/>
              </w:rPr>
            </w:pPr>
            <w:r>
              <w:rPr>
                <w:iCs/>
                <w:sz w:val="22"/>
                <w:szCs w:val="22"/>
              </w:rPr>
              <w:t xml:space="preserve">Separate GEO and LEO in 2 different classes </w:t>
            </w:r>
          </w:p>
          <w:p>
            <w:pPr>
              <w:pStyle w:val="4"/>
              <w:numPr>
                <w:ilvl w:val="0"/>
                <w:numId w:val="2"/>
              </w:numPr>
            </w:pPr>
            <w:r>
              <w:t>Offset to FR2 OTA REFSENS ΔFR2_REFSENS</w:t>
            </w:r>
          </w:p>
          <w:p>
            <w:pPr>
              <w:overflowPunct w:val="0"/>
              <w:autoSpaceDE w:val="0"/>
              <w:autoSpaceDN w:val="0"/>
              <w:ind w:firstLine="420"/>
              <w:textAlignment w:val="baseline"/>
              <w:rPr>
                <w:rFonts w:eastAsiaTheme="minorEastAsia"/>
                <w:b/>
                <w:bCs/>
                <w:iCs/>
                <w:sz w:val="22"/>
                <w:szCs w:val="22"/>
                <w:lang w:eastAsia="ja-JP"/>
              </w:rPr>
            </w:pPr>
            <w:r>
              <w:rPr>
                <w:rFonts w:eastAsiaTheme="minorEastAsia"/>
                <w:b/>
                <w:bCs/>
                <w:iCs/>
                <w:sz w:val="22"/>
                <w:szCs w:val="22"/>
                <w:lang w:eastAsia="ja-JP"/>
              </w:rPr>
              <w:t>Agreement:</w:t>
            </w:r>
          </w:p>
          <w:p>
            <w:pPr>
              <w:ind w:left="420" w:firstLine="420"/>
            </w:pPr>
            <w:r>
              <w:rPr>
                <w:iCs/>
                <w:sz w:val="22"/>
                <w:szCs w:val="22"/>
              </w:rPr>
              <w:t>Specify ΔFR2_REFSENS</w:t>
            </w:r>
          </w:p>
          <w:p>
            <w:pPr>
              <w:pStyle w:val="4"/>
              <w:numPr>
                <w:ilvl w:val="0"/>
                <w:numId w:val="2"/>
              </w:numPr>
            </w:pPr>
            <w:r>
              <w:t>Dynamic range requirement</w:t>
            </w:r>
          </w:p>
          <w:p>
            <w:pPr>
              <w:overflowPunct w:val="0"/>
              <w:autoSpaceDE w:val="0"/>
              <w:autoSpaceDN w:val="0"/>
              <w:ind w:firstLine="420"/>
              <w:textAlignment w:val="baseline"/>
              <w:rPr>
                <w:rFonts w:eastAsiaTheme="minorEastAsia"/>
                <w:b/>
                <w:bCs/>
                <w:iCs/>
                <w:sz w:val="22"/>
                <w:szCs w:val="22"/>
                <w:lang w:eastAsia="ja-JP"/>
              </w:rPr>
            </w:pPr>
            <w:r>
              <w:rPr>
                <w:rFonts w:eastAsiaTheme="minorEastAsia"/>
                <w:b/>
                <w:bCs/>
                <w:iCs/>
                <w:sz w:val="22"/>
                <w:szCs w:val="22"/>
                <w:lang w:eastAsia="ja-JP"/>
              </w:rPr>
              <w:t>Agreement:</w:t>
            </w:r>
          </w:p>
          <w:p>
            <w:pPr>
              <w:overflowPunct w:val="0"/>
              <w:autoSpaceDE w:val="0"/>
              <w:autoSpaceDN w:val="0"/>
              <w:adjustRightInd w:val="0"/>
              <w:spacing w:after="120"/>
              <w:ind w:left="420" w:firstLine="420"/>
              <w:textAlignment w:val="baseline"/>
              <w:rPr>
                <w:iCs/>
                <w:sz w:val="22"/>
                <w:szCs w:val="22"/>
              </w:rPr>
            </w:pPr>
            <w:r>
              <w:rPr>
                <w:iCs/>
                <w:sz w:val="22"/>
                <w:szCs w:val="22"/>
              </w:rPr>
              <w:t>As FRF=1 was not considered in Rel-18 coexistence study for this WI, there is no need to specify dynamic range.</w:t>
            </w:r>
          </w:p>
          <w:p>
            <w:pPr>
              <w:tabs>
                <w:tab w:val="left" w:pos="2127"/>
              </w:tabs>
              <w:spacing w:after="0"/>
              <w:rPr>
                <w:rFonts w:hint="default"/>
                <w:vertAlign w:val="baseline"/>
                <w:lang w:val="en-US" w:eastAsia="zh-CN"/>
              </w:rPr>
            </w:pPr>
          </w:p>
        </w:tc>
      </w:tr>
    </w:tbl>
    <w:p>
      <w:pPr>
        <w:tabs>
          <w:tab w:val="left" w:pos="2127"/>
        </w:tabs>
        <w:spacing w:after="0"/>
        <w:rPr>
          <w:rFonts w:hint="default"/>
          <w:lang w:val="en-US" w:eastAsia="zh-CN"/>
        </w:rPr>
      </w:pPr>
    </w:p>
    <w:p>
      <w:pPr>
        <w:pStyle w:val="56"/>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4"/>
      <w:bookmarkStart w:id="3" w:name="OLE_LINK20"/>
      <w:bookmarkStart w:id="4" w:name="OLE_LINK10"/>
      <w:r>
        <w:rPr>
          <w:rFonts w:hint="eastAsia" w:eastAsia="Times New Roman"/>
        </w:rPr>
        <w:t xml:space="preserve"> </w:t>
      </w: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ascii="Arial" w:hAnsi="Arial" w:cs="Arial"/>
          <w:sz w:val="28"/>
          <w:szCs w:val="28"/>
        </w:rPr>
        <w:t xml:space="preserve">OOBB requirement </w:t>
      </w:r>
    </w:p>
    <w:p>
      <w:r>
        <w:t xml:space="preserve">In the previous RAN4 meeting, there were some discussion on OOBB requirement, however there are no much progress for it. From our understanding, OOBB requirement within FR1 should be also applicable for Ka-band SAN since this interfering signal </w:t>
      </w:r>
      <w:r>
        <w:rPr>
          <w:rFonts w:hint="eastAsia"/>
          <w:lang w:val="en-US" w:eastAsia="zh-CN"/>
        </w:rPr>
        <w:t>should be</w:t>
      </w:r>
      <w:r>
        <w:t xml:space="preserve"> a</w:t>
      </w:r>
      <w:r>
        <w:rPr>
          <w:rFonts w:hint="eastAsia"/>
          <w:lang w:val="en-US" w:eastAsia="zh-CN"/>
        </w:rPr>
        <w:t>gno</w:t>
      </w:r>
      <w:r>
        <w:t>stic to the victim system. However for frequency range between 12.75GHz to 2</w:t>
      </w:r>
      <w:r>
        <w:rPr>
          <w:vertAlign w:val="superscript"/>
        </w:rPr>
        <w:t>nd</w:t>
      </w:r>
      <w:r>
        <w:t xml:space="preserve"> harmonic of upper frequency, this should be subject to the potential interference signal from other aggressor, at least we could see the following potential aggressor signals</w:t>
      </w:r>
    </w:p>
    <w:p>
      <w:pPr>
        <w:pStyle w:val="35"/>
        <w:numPr>
          <w:ilvl w:val="0"/>
          <w:numId w:val="3"/>
        </w:numPr>
        <w:ind w:firstLineChars="0"/>
      </w:pPr>
      <w:r>
        <w:t>Ku-band satellite UL transmission.</w:t>
      </w:r>
    </w:p>
    <w:p>
      <w:pPr>
        <w:pStyle w:val="35"/>
        <w:numPr>
          <w:ilvl w:val="0"/>
          <w:numId w:val="3"/>
        </w:numPr>
        <w:ind w:firstLineChars="0"/>
      </w:pPr>
      <w:r>
        <w:t xml:space="preserve">Frequency and timing reference signal between satellite nodes; </w:t>
      </w:r>
    </w:p>
    <w:p>
      <w:pPr>
        <w:pStyle w:val="35"/>
        <w:numPr>
          <w:ilvl w:val="0"/>
          <w:numId w:val="3"/>
        </w:numPr>
        <w:ind w:firstLineChars="0"/>
      </w:pPr>
      <w:r>
        <w:t>Wireless positioning between satellite.</w:t>
      </w:r>
    </w:p>
    <w:p>
      <w:r>
        <w:rPr>
          <w:rFonts w:hint="eastAsia" w:ascii="Arial" w:hAnsi="Arial" w:cs="Arial"/>
          <w:sz w:val="28"/>
          <w:szCs w:val="28"/>
        </w:rPr>
        <w:drawing>
          <wp:inline distT="0" distB="0" distL="0" distR="0">
            <wp:extent cx="6188710" cy="757555"/>
            <wp:effectExtent l="0" t="0" r="0" b="0"/>
            <wp:docPr id="1" name="图片 1" descr="C:\Users\10164284\AppData\Local\Microsoft\Windows\INetCache\Content.MSO\E7F1DE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E7F1DE36.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757555"/>
                    </a:xfrm>
                    <a:prstGeom prst="rect">
                      <a:avLst/>
                    </a:prstGeom>
                    <a:noFill/>
                    <a:ln>
                      <a:noFill/>
                    </a:ln>
                  </pic:spPr>
                </pic:pic>
              </a:graphicData>
            </a:graphic>
          </wp:inline>
        </w:drawing>
      </w:r>
    </w:p>
    <w:p>
      <w:pPr>
        <w:jc w:val="center"/>
      </w:pPr>
      <w:r>
        <w:t>F</w:t>
      </w:r>
      <w:r>
        <w:rPr>
          <w:rFonts w:hint="eastAsia"/>
        </w:rPr>
        <w:t>igure</w:t>
      </w:r>
      <w:r>
        <w:t xml:space="preserve"> 1. OOBB requirement for NTN SAN in Ka-band.</w:t>
      </w:r>
    </w:p>
    <w:p>
      <w:pPr>
        <w:jc w:val="center"/>
      </w:pPr>
      <w:r>
        <w:drawing>
          <wp:inline distT="0" distB="0" distL="0" distR="0">
            <wp:extent cx="6188710" cy="12020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188710" cy="1202055"/>
                    </a:xfrm>
                    <a:prstGeom prst="rect">
                      <a:avLst/>
                    </a:prstGeom>
                  </pic:spPr>
                </pic:pic>
              </a:graphicData>
            </a:graphic>
          </wp:inline>
        </w:drawing>
      </w:r>
      <w:r>
        <w:t>F</w:t>
      </w:r>
      <w:r>
        <w:rPr>
          <w:rFonts w:hint="eastAsia"/>
        </w:rPr>
        <w:t>igure</w:t>
      </w:r>
      <w:r>
        <w:t xml:space="preserve"> 2. The spectrum chart for 12-30GHz</w:t>
      </w:r>
    </w:p>
    <w:p>
      <w:pPr>
        <w:jc w:val="left"/>
        <w:rPr>
          <w:rFonts w:hint="default" w:eastAsia="宋体"/>
          <w:lang w:val="en-US" w:eastAsia="zh-CN"/>
        </w:rPr>
      </w:pPr>
      <w:r>
        <w:rPr>
          <w:rFonts w:hint="default"/>
          <w:lang w:val="en-US" w:eastAsia="zh-CN"/>
        </w:rPr>
        <w:t xml:space="preserve">However based on the discussions in the previous meetings, it seems that this requirement is somehow deployment dependent requirement and this is quite difficult in RAN4 to agree upon on any specific values as stringent one, therefore we propose to reuse power level of interfering signal as low freq ranges. </w:t>
      </w:r>
    </w:p>
    <w:p>
      <w:r>
        <w:rPr>
          <w:b/>
        </w:rPr>
        <w:t>Proposal 1:</w:t>
      </w:r>
      <w:r>
        <w:t xml:space="preserve"> for frequency range between 30MHz and 12.75GHz, to reuse the FR1 OOBB requirement for Ka-band SAN;</w:t>
      </w:r>
    </w:p>
    <w:p>
      <w:r>
        <w:rPr>
          <w:b/>
        </w:rPr>
        <w:t>Proposal 2:</w:t>
      </w:r>
      <w:r>
        <w:t xml:space="preserve"> for frequency range between 12.75GHz and 2</w:t>
      </w:r>
      <w:r>
        <w:rPr>
          <w:vertAlign w:val="superscript"/>
        </w:rPr>
        <w:t>nd</w:t>
      </w:r>
      <w:r>
        <w:t xml:space="preserve"> harmonic of upper frequency, the following service should be taken into account. </w:t>
      </w:r>
    </w:p>
    <w:p>
      <w:pPr>
        <w:pStyle w:val="35"/>
        <w:numPr>
          <w:ilvl w:val="0"/>
          <w:numId w:val="4"/>
        </w:numPr>
        <w:ind w:firstLineChars="0"/>
      </w:pPr>
      <w:r>
        <w:t>Ku-band satellite UL transmission.</w:t>
      </w:r>
    </w:p>
    <w:p>
      <w:pPr>
        <w:pStyle w:val="35"/>
        <w:numPr>
          <w:ilvl w:val="0"/>
          <w:numId w:val="4"/>
        </w:numPr>
        <w:ind w:firstLineChars="0"/>
      </w:pPr>
      <w:r>
        <w:t xml:space="preserve">Frequency and timing reference signal between satellite nodes; </w:t>
      </w:r>
      <w:r>
        <w:rPr>
          <w:rFonts w:hint="eastAsia"/>
          <w:lang w:val="en-US" w:eastAsia="zh-CN"/>
        </w:rPr>
        <w:t xml:space="preserve"> </w:t>
      </w:r>
    </w:p>
    <w:p>
      <w:pPr>
        <w:pStyle w:val="35"/>
        <w:numPr>
          <w:ilvl w:val="0"/>
          <w:numId w:val="4"/>
        </w:numPr>
        <w:ind w:firstLineChars="0"/>
      </w:pPr>
      <w:r>
        <w:t>Wireless positioning between satellite.</w:t>
      </w:r>
    </w:p>
    <w:p>
      <w:pPr>
        <w:rPr>
          <w:rFonts w:hint="eastAsia"/>
          <w:lang w:val="en-US" w:eastAsia="zh-CN"/>
        </w:rPr>
      </w:pPr>
      <w:r>
        <w:rPr>
          <w:rFonts w:hint="default" w:ascii="Times New Roman" w:hAnsi="Times New Roman" w:cs="Times New Roman"/>
          <w:b/>
          <w:lang w:val="en-US" w:eastAsia="zh-CN"/>
        </w:rPr>
        <w:t xml:space="preserve">Proposal 3: </w:t>
      </w:r>
      <w:r>
        <w:rPr>
          <w:rFonts w:hint="eastAsia" w:cs="Times New Roman"/>
          <w:b w:val="0"/>
          <w:bCs/>
          <w:lang w:val="en-US" w:eastAsia="zh-CN"/>
        </w:rPr>
        <w:t>for the OOBB requirement for SAN in Ka-band, propose to define the requirement as following:</w:t>
      </w:r>
    </w:p>
    <w:p>
      <w:pPr>
        <w:rPr>
          <w:rFonts w:hint="default"/>
          <w:lang w:val="en-US" w:eastAsia="zh-CN"/>
        </w:rPr>
      </w:pPr>
      <w:r>
        <w:rPr>
          <w:lang w:eastAsia="zh-CN"/>
        </w:rPr>
        <w:t xml:space="preserve">For </w:t>
      </w:r>
      <w:r>
        <w:rPr>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w:t>
      </w:r>
      <w:r>
        <w:rPr>
          <w:rFonts w:hint="eastAsia"/>
          <w:lang w:val="en-US" w:eastAsia="zh-CN"/>
        </w:rPr>
        <w:t>2</w:t>
      </w:r>
      <w:r>
        <w:rPr>
          <w:rFonts w:hint="eastAsia"/>
          <w:vertAlign w:val="superscript"/>
          <w:lang w:val="en-US" w:eastAsia="zh-CN"/>
        </w:rPr>
        <w:t>nd</w:t>
      </w:r>
      <w:r>
        <w:rPr>
          <w:rFonts w:hint="eastAsia"/>
          <w:lang w:val="en-US" w:eastAsia="zh-CN"/>
        </w:rPr>
        <w:t xml:space="preserve"> harmonic of upper frequency edge of the operating band</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tbl>
      <w:tblPr>
        <w:tblStyle w:val="25"/>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771" w:type="dxa"/>
          </w:tcPr>
          <w:p>
            <w:pPr>
              <w:pStyle w:val="36"/>
            </w:pPr>
            <w:r>
              <w:t>Frequency range of interfering signal</w:t>
            </w:r>
          </w:p>
          <w:p>
            <w:pPr>
              <w:pStyle w:val="36"/>
            </w:pPr>
            <w:r>
              <w:t>(MHz)</w:t>
            </w:r>
          </w:p>
        </w:tc>
        <w:tc>
          <w:tcPr>
            <w:tcW w:w="1851" w:type="dxa"/>
            <w:shd w:val="clear" w:color="auto" w:fill="auto"/>
          </w:tcPr>
          <w:p>
            <w:pPr>
              <w:pStyle w:val="36"/>
            </w:pPr>
            <w:r>
              <w:t>Wanted signal mean power</w:t>
            </w:r>
          </w:p>
          <w:p>
            <w:pPr>
              <w:pStyle w:val="36"/>
              <w:rPr>
                <w:lang w:val="en-US"/>
              </w:rPr>
            </w:pPr>
            <w:r>
              <w:t>(dBm)</w:t>
            </w:r>
          </w:p>
        </w:tc>
        <w:tc>
          <w:tcPr>
            <w:tcW w:w="1955" w:type="dxa"/>
          </w:tcPr>
          <w:p>
            <w:pPr>
              <w:pStyle w:val="36"/>
              <w:rPr>
                <w:lang w:val="en-US"/>
              </w:rPr>
            </w:pPr>
            <w:r>
              <w:rPr>
                <w:lang w:val="en-US"/>
              </w:rPr>
              <w:t>Interferer RMS field-strength</w:t>
            </w:r>
          </w:p>
          <w:p>
            <w:pPr>
              <w:pStyle w:val="36"/>
            </w:pPr>
            <w:r>
              <w:rPr>
                <w:lang w:val="en-US"/>
              </w:rPr>
              <w:t>(V/m)</w:t>
            </w:r>
          </w:p>
        </w:tc>
        <w:tc>
          <w:tcPr>
            <w:tcW w:w="3217" w:type="dxa"/>
          </w:tcPr>
          <w:p>
            <w:pPr>
              <w:pStyle w:val="3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7"/>
            </w:pPr>
            <w:r>
              <w:t>30 to 12750</w:t>
            </w:r>
          </w:p>
        </w:tc>
        <w:tc>
          <w:tcPr>
            <w:tcW w:w="1851" w:type="dxa"/>
            <w:shd w:val="clear" w:color="auto" w:fill="auto"/>
          </w:tcPr>
          <w:p>
            <w:pPr>
              <w:pStyle w:val="37"/>
            </w:pPr>
            <w:r>
              <w:rPr>
                <w:rFonts w:cs="Arial"/>
              </w:rPr>
              <w:t>EIS</w:t>
            </w:r>
            <w:r>
              <w:rPr>
                <w:rFonts w:cs="Arial"/>
                <w:vertAlign w:val="subscript"/>
              </w:rPr>
              <w:t>REFSENS</w:t>
            </w:r>
            <w:r>
              <w:rPr>
                <w:rFonts w:cs="Arial"/>
              </w:rPr>
              <w:t xml:space="preserve"> + 6 dB</w:t>
            </w:r>
          </w:p>
        </w:tc>
        <w:tc>
          <w:tcPr>
            <w:tcW w:w="1955" w:type="dxa"/>
          </w:tcPr>
          <w:p>
            <w:pPr>
              <w:pStyle w:val="37"/>
              <w:rPr>
                <w:rFonts w:cs="Arial"/>
              </w:rPr>
            </w:pPr>
            <w:r>
              <w:t>0.0029</w:t>
            </w:r>
          </w:p>
        </w:tc>
        <w:tc>
          <w:tcPr>
            <w:tcW w:w="3217" w:type="dxa"/>
          </w:tcPr>
          <w:p>
            <w:pPr>
              <w:pStyle w:val="37"/>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7"/>
              <w:rPr>
                <w:rFonts w:hint="eastAsia" w:eastAsia="宋体"/>
                <w:lang w:val="en-US" w:eastAsia="zh-CN"/>
              </w:rPr>
            </w:pPr>
            <w:r>
              <w:t>12750 to F</w:t>
            </w:r>
            <w:r>
              <w:rPr>
                <w:vertAlign w:val="subscript"/>
              </w:rPr>
              <w:t>UL</w:t>
            </w:r>
            <w:r>
              <w:rPr>
                <w:rFonts w:cs="Arial"/>
                <w:vertAlign w:val="subscript"/>
              </w:rPr>
              <w:t xml:space="preserve">,low </w:t>
            </w:r>
            <w:r>
              <w:rPr>
                <w:rFonts w:cs="Arial"/>
              </w:rPr>
              <w:t xml:space="preserve">– </w:t>
            </w:r>
            <w:r>
              <w:rPr>
                <w:rFonts w:hint="eastAsia" w:eastAsia="宋体" w:cs="Arial"/>
                <w:lang w:val="en-US" w:eastAsia="zh-CN"/>
              </w:rPr>
              <w:t>[</w:t>
            </w:r>
            <w:r>
              <w:rPr>
                <w:rFonts w:cs="Arial"/>
              </w:rPr>
              <w:t>1500</w:t>
            </w:r>
            <w:r>
              <w:rPr>
                <w:rFonts w:hint="eastAsia" w:eastAsia="宋体" w:cs="Arial"/>
                <w:lang w:val="en-US" w:eastAsia="zh-CN"/>
              </w:rPr>
              <w:t>]</w:t>
            </w:r>
          </w:p>
        </w:tc>
        <w:tc>
          <w:tcPr>
            <w:tcW w:w="1851" w:type="dxa"/>
            <w:shd w:val="clear" w:color="auto" w:fill="auto"/>
          </w:tcPr>
          <w:p>
            <w:pPr>
              <w:pStyle w:val="37"/>
            </w:pPr>
            <w:r>
              <w:rPr>
                <w:rFonts w:cs="Arial"/>
              </w:rPr>
              <w:t>EIS</w:t>
            </w:r>
            <w:r>
              <w:rPr>
                <w:rFonts w:cs="Arial"/>
                <w:vertAlign w:val="subscript"/>
              </w:rPr>
              <w:t>REFSENS</w:t>
            </w:r>
            <w:r>
              <w:rPr>
                <w:rFonts w:cs="Arial"/>
              </w:rPr>
              <w:t xml:space="preserve"> + 6 dB</w:t>
            </w:r>
          </w:p>
        </w:tc>
        <w:tc>
          <w:tcPr>
            <w:tcW w:w="1955" w:type="dxa"/>
          </w:tcPr>
          <w:p>
            <w:pPr>
              <w:pStyle w:val="37"/>
              <w:rPr>
                <w:rFonts w:cs="Arial"/>
              </w:rPr>
            </w:pPr>
            <w:r>
              <w:t>0.0029</w:t>
            </w:r>
          </w:p>
        </w:tc>
        <w:tc>
          <w:tcPr>
            <w:tcW w:w="3217" w:type="dxa"/>
          </w:tcPr>
          <w:p>
            <w:pPr>
              <w:pStyle w:val="37"/>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7"/>
            </w:pPr>
            <w:r>
              <w:t>F</w:t>
            </w:r>
            <w:r>
              <w:rPr>
                <w:vertAlign w:val="subscript"/>
              </w:rPr>
              <w:t>UL</w:t>
            </w:r>
            <w:r>
              <w:rPr>
                <w:rFonts w:cs="Arial"/>
                <w:vertAlign w:val="subscript"/>
              </w:rPr>
              <w:t xml:space="preserve">,high </w:t>
            </w:r>
            <w:r>
              <w:rPr>
                <w:rFonts w:cs="Arial"/>
              </w:rPr>
              <w:t xml:space="preserve">+ </w:t>
            </w:r>
            <w:r>
              <w:rPr>
                <w:rFonts w:hint="eastAsia" w:eastAsia="宋体" w:cs="Arial"/>
                <w:lang w:val="en-US" w:eastAsia="zh-CN"/>
              </w:rPr>
              <w:t>[</w:t>
            </w:r>
            <w:r>
              <w:rPr>
                <w:rFonts w:cs="Arial"/>
              </w:rPr>
              <w:t>1500</w:t>
            </w:r>
            <w:r>
              <w:rPr>
                <w:rFonts w:hint="eastAsia" w:eastAsia="宋体" w:cs="Arial"/>
                <w:lang w:val="en-US" w:eastAsia="zh-CN"/>
              </w:rPr>
              <w:t>]</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pPr>
              <w:pStyle w:val="37"/>
            </w:pPr>
            <w:r>
              <w:rPr>
                <w:rFonts w:cs="Arial"/>
              </w:rPr>
              <w:t>EIS</w:t>
            </w:r>
            <w:r>
              <w:rPr>
                <w:rFonts w:cs="Arial"/>
                <w:vertAlign w:val="subscript"/>
              </w:rPr>
              <w:t>REFSENS</w:t>
            </w:r>
            <w:r>
              <w:rPr>
                <w:rFonts w:cs="Arial"/>
              </w:rPr>
              <w:t xml:space="preserve"> + 6 dB</w:t>
            </w:r>
          </w:p>
        </w:tc>
        <w:tc>
          <w:tcPr>
            <w:tcW w:w="1955" w:type="dxa"/>
          </w:tcPr>
          <w:p>
            <w:pPr>
              <w:pStyle w:val="37"/>
              <w:rPr>
                <w:rFonts w:cs="Arial"/>
              </w:rPr>
            </w:pPr>
            <w:r>
              <w:t>0.0029</w:t>
            </w:r>
            <w:r>
              <w:rPr>
                <w:rFonts w:eastAsia="宋体"/>
                <w:lang w:eastAsia="zh-CN"/>
              </w:rPr>
              <w:t xml:space="preserve"> </w:t>
            </w:r>
          </w:p>
        </w:tc>
        <w:tc>
          <w:tcPr>
            <w:tcW w:w="3217" w:type="dxa"/>
          </w:tcPr>
          <w:p>
            <w:pPr>
              <w:pStyle w:val="37"/>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94" w:type="dxa"/>
            <w:gridSpan w:val="4"/>
          </w:tcPr>
          <w:p>
            <w:pPr>
              <w:pStyle w:val="49"/>
            </w:pPr>
            <w:r>
              <w:t>NOTE 1:</w:t>
            </w:r>
            <w:r>
              <w:tab/>
            </w:r>
            <w:r>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pPr>
              <w:pStyle w:val="37"/>
              <w:jc w:val="left"/>
            </w:pPr>
            <w:r>
              <w:t>NOTE 2:</w:t>
            </w:r>
            <w:r>
              <w:tab/>
            </w:r>
            <w:r>
              <w:t xml:space="preserve">The RMS field-strength level in V/m is related to the interferer EIRP level at a distance described as </w:t>
            </w:r>
            <w:r>
              <w:rPr>
                <w:position w:val="-24"/>
              </w:rPr>
              <w:object>
                <v:shape id="_x0000_i1025" o:spt="75" type="#_x0000_t75" style="height:31pt;width:5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where EIRP is in W and r is in m.</w:t>
            </w:r>
          </w:p>
        </w:tc>
      </w:tr>
    </w:tbl>
    <w:p>
      <w:pPr>
        <w:pStyle w:val="35"/>
        <w:numPr>
          <w:ilvl w:val="-1"/>
          <w:numId w:val="0"/>
        </w:numPr>
        <w:ind w:left="360" w:firstLine="0" w:firstLineChars="0"/>
        <w:rPr>
          <w:rFonts w:hint="default"/>
          <w:lang w:val="en-US" w:eastAsia="zh-CN"/>
        </w:rPr>
      </w:pPr>
    </w:p>
    <w:p>
      <w:pPr>
        <w:jc w:val="left"/>
        <w:outlineLvl w:val="1"/>
        <w:rPr>
          <w:rFonts w:ascii="Arial" w:hAnsi="Arial" w:cs="Arial"/>
          <w:sz w:val="28"/>
          <w:szCs w:val="28"/>
        </w:rPr>
      </w:pPr>
      <w:r>
        <w:rPr>
          <w:rFonts w:ascii="Arial" w:hAnsi="Arial" w:cs="Arial"/>
          <w:sz w:val="28"/>
          <w:szCs w:val="28"/>
        </w:rPr>
        <w:t>2.2.</w:t>
      </w:r>
      <w:r>
        <w:rPr>
          <w:rFonts w:hint="eastAsia" w:ascii="Arial" w:hAnsi="Arial" w:cs="Arial"/>
          <w:sz w:val="28"/>
          <w:szCs w:val="28"/>
        </w:rPr>
        <w:t xml:space="preserve"> </w:t>
      </w:r>
      <w:r>
        <w:rPr>
          <w:rFonts w:ascii="Arial" w:hAnsi="Arial" w:cs="Arial"/>
          <w:sz w:val="28"/>
          <w:szCs w:val="28"/>
        </w:rPr>
        <w:t xml:space="preserve">ICS requirement </w:t>
      </w:r>
    </w:p>
    <w:p>
      <w:r>
        <w:t xml:space="preserve">For SAN ICS requirement in Ka-band, similar as FR1 NTN and TN BS ICS requirement, we need to figure out the IoT levels in this system due to the co-channel interference from other cells or beams. </w:t>
      </w:r>
    </w:p>
    <w:p>
      <w:pPr>
        <w:rPr>
          <w:kern w:val="0"/>
          <w:sz w:val="24"/>
          <w:szCs w:val="24"/>
        </w:rPr>
      </w:pPr>
      <w:r>
        <w:t>Interfering signal power level = -174dBm/Hz+10*log</w:t>
      </w:r>
      <w:r>
        <w:rPr>
          <w:vertAlign w:val="subscript"/>
        </w:rPr>
        <w:t>10</w:t>
      </w:r>
      <w:r>
        <w:t>(BW)+NF+ICS-G,</w:t>
      </w:r>
      <w:r>
        <w:br w:type="textWrapping"/>
      </w:r>
      <w:r>
        <w:t>Where:</w:t>
      </w:r>
    </w:p>
    <w:p>
      <w:pPr>
        <w:pStyle w:val="51"/>
      </w:pPr>
      <w:r>
        <w:t>-</w:t>
      </w:r>
      <w:r>
        <w:tab/>
      </w:r>
      <w:r>
        <w:t>BW is interfering signal bandwidth in Hz, e.g. 33PRB for 50MHz SCS:60 kHz;</w:t>
      </w:r>
    </w:p>
    <w:p>
      <w:pPr>
        <w:pStyle w:val="51"/>
      </w:pPr>
      <w:r>
        <w:t>-</w:t>
      </w:r>
      <w:r>
        <w:tab/>
      </w:r>
      <w:r>
        <w:t>G is dependent on the mmWave receiver antenna gain and other factors for OTA REFSENS requirement</w:t>
      </w:r>
    </w:p>
    <w:p>
      <w:r>
        <w:t>-</w:t>
      </w:r>
      <w:r>
        <w:tab/>
      </w:r>
      <w:r>
        <w:t>ICS is agreed as 14dBc for all BS type, the specific reasons can be found in the following Table.</w:t>
      </w:r>
    </w:p>
    <w:p>
      <w:pPr>
        <w:rPr>
          <w:rFonts w:hint="eastAsia"/>
          <w:lang w:val="en-US" w:eastAsia="zh-CN"/>
        </w:rPr>
      </w:pPr>
      <w:r>
        <w:t>Based on the following initial simulation results for IoT level in GEO, LEO1200km and LEO600KM</w:t>
      </w:r>
      <w:r>
        <w:rPr>
          <w:rFonts w:hint="eastAsia"/>
          <w:lang w:val="en-US" w:eastAsia="zh-CN"/>
        </w:rPr>
        <w:t xml:space="preserve"> as shown in Figure 3~5</w:t>
      </w:r>
      <w:r>
        <w:t xml:space="preserve">, it could be found that IoT level </w:t>
      </w:r>
      <w:r>
        <w:rPr>
          <w:rFonts w:hint="eastAsia"/>
          <w:lang w:val="en-US" w:eastAsia="zh-CN"/>
        </w:rPr>
        <w:t xml:space="preserve">around 21dBc </w:t>
      </w:r>
      <w:r>
        <w:t xml:space="preserve">is relatively higher compared with FR1 with FRF equal to 1 which should be the worst case assumption, however if FRF is equal to 2 with dual polarization considered, then </w:t>
      </w:r>
      <w:r>
        <w:rPr>
          <w:rFonts w:hint="eastAsia"/>
          <w:lang w:val="en-US" w:eastAsia="zh-CN"/>
        </w:rPr>
        <w:t xml:space="preserve">the expected </w:t>
      </w:r>
      <w:r>
        <w:t>IoT level would be</w:t>
      </w:r>
      <w:r>
        <w:rPr>
          <w:rFonts w:hint="eastAsia"/>
          <w:lang w:val="en-US" w:eastAsia="zh-CN"/>
        </w:rPr>
        <w:t xml:space="preserve"> close to 0dB. During the last RAN4 meeting, it was agreed that FRF=1 is not considered in Rel-18, therefore we propose to follow the same logic here for ICS requirement, then ICS should be around 9dBc lower than 14dBc for FR2 TN BS.</w:t>
      </w:r>
    </w:p>
    <w:p>
      <w:pPr>
        <w:rPr>
          <w:rFonts w:hint="default"/>
          <w:lang w:val="en-US" w:eastAsia="zh-CN"/>
        </w:rPr>
      </w:pPr>
      <w:r>
        <w:rPr>
          <w:rFonts w:hint="eastAsia"/>
          <w:lang w:val="en-US" w:eastAsia="zh-CN"/>
        </w:rPr>
        <w:t>Based on the above analysis, the ICS requirement could be assumed as 9dB.</w:t>
      </w:r>
    </w:p>
    <w:p>
      <w:pPr>
        <w:jc w:val="center"/>
        <w:rPr>
          <w:lang w:val="en-GB"/>
        </w:rPr>
      </w:pPr>
      <w:r>
        <w:rPr>
          <w:lang w:val="en-GB"/>
        </w:rPr>
        <w:drawing>
          <wp:inline distT="0" distB="0" distL="0" distR="0">
            <wp:extent cx="3319145" cy="2483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19738" cy="2484000"/>
                    </a:xfrm>
                    <a:prstGeom prst="rect">
                      <a:avLst/>
                    </a:prstGeom>
                    <a:noFill/>
                    <a:ln>
                      <a:noFill/>
                    </a:ln>
                  </pic:spPr>
                </pic:pic>
              </a:graphicData>
            </a:graphic>
          </wp:inline>
        </w:drawing>
      </w:r>
    </w:p>
    <w:p>
      <w:pPr>
        <w:jc w:val="center"/>
        <w:rPr>
          <w:lang w:val="en-GB"/>
        </w:rPr>
      </w:pPr>
      <w:r>
        <w:rPr>
          <w:lang w:val="en-GB"/>
        </w:rPr>
        <w:t>Figure 3. IoT level for GEO scenario [FRF=1]</w:t>
      </w:r>
    </w:p>
    <w:p>
      <w:pPr>
        <w:jc w:val="center"/>
        <w:rPr>
          <w:lang w:val="en-GB"/>
        </w:rPr>
      </w:pPr>
      <w:r>
        <w:rPr>
          <w:lang w:val="en-GB"/>
        </w:rPr>
        <w:drawing>
          <wp:inline distT="0" distB="0" distL="0" distR="0">
            <wp:extent cx="3319780" cy="2483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20129" cy="2484000"/>
                    </a:xfrm>
                    <a:prstGeom prst="rect">
                      <a:avLst/>
                    </a:prstGeom>
                    <a:noFill/>
                    <a:ln>
                      <a:noFill/>
                    </a:ln>
                  </pic:spPr>
                </pic:pic>
              </a:graphicData>
            </a:graphic>
          </wp:inline>
        </w:drawing>
      </w:r>
    </w:p>
    <w:p>
      <w:pPr>
        <w:jc w:val="center"/>
        <w:rPr>
          <w:lang w:val="en-GB"/>
        </w:rPr>
      </w:pPr>
      <w:r>
        <w:rPr>
          <w:lang w:val="en-GB"/>
        </w:rPr>
        <w:t>Figure 4. IoT level for LEO1200KM scenario [FRF=1]</w:t>
      </w:r>
    </w:p>
    <w:p>
      <w:pPr>
        <w:jc w:val="center"/>
        <w:rPr>
          <w:lang w:val="en-GB"/>
        </w:rPr>
      </w:pPr>
      <w:r>
        <w:drawing>
          <wp:inline distT="0" distB="0" distL="114300" distR="114300">
            <wp:extent cx="3314065" cy="2484120"/>
            <wp:effectExtent l="0" t="0" r="0"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3314065" cy="2484120"/>
                    </a:xfrm>
                    <a:prstGeom prst="rect">
                      <a:avLst/>
                    </a:prstGeom>
                    <a:noFill/>
                    <a:ln>
                      <a:noFill/>
                    </a:ln>
                  </pic:spPr>
                </pic:pic>
              </a:graphicData>
            </a:graphic>
          </wp:inline>
        </w:drawing>
      </w:r>
    </w:p>
    <w:p>
      <w:pPr>
        <w:jc w:val="center"/>
        <w:rPr>
          <w:lang w:val="en-GB"/>
        </w:rPr>
      </w:pPr>
      <w:r>
        <w:rPr>
          <w:lang w:val="en-GB"/>
        </w:rPr>
        <w:t>Figure 5. IoT level for LEO600KM scenario [FRF=1]</w:t>
      </w:r>
    </w:p>
    <w:p>
      <w:pPr>
        <w:rPr>
          <w:rFonts w:hint="eastAsia"/>
          <w:lang w:val="en-US" w:eastAsia="zh-CN"/>
        </w:rPr>
      </w:pPr>
      <w:r>
        <w:rPr>
          <w:rFonts w:hint="default" w:ascii="Times New Roman" w:hAnsi="Times New Roman" w:cs="Times New Roman"/>
          <w:b/>
          <w:lang w:val="en-US" w:eastAsia="zh-CN"/>
        </w:rPr>
        <w:t xml:space="preserve">Proposal </w:t>
      </w:r>
      <w:r>
        <w:rPr>
          <w:rFonts w:hint="eastAsia" w:cs="Times New Roman"/>
          <w:b/>
          <w:lang w:val="en-US" w:eastAsia="zh-CN"/>
        </w:rPr>
        <w:t>4</w:t>
      </w:r>
      <w:r>
        <w:rPr>
          <w:rFonts w:hint="default" w:ascii="Times New Roman" w:hAnsi="Times New Roman" w:cs="Times New Roman"/>
          <w:b/>
          <w:lang w:val="en-US" w:eastAsia="zh-CN"/>
        </w:rPr>
        <w:t xml:space="preserve">: </w:t>
      </w:r>
      <w:r>
        <w:rPr>
          <w:rFonts w:hint="eastAsia" w:cs="Times New Roman"/>
          <w:b w:val="0"/>
          <w:bCs/>
          <w:lang w:val="en-US" w:eastAsia="zh-CN"/>
        </w:rPr>
        <w:t>for the ICS requirement for SAN in Ka-band, propose to define the requirement as following:</w:t>
      </w:r>
    </w:p>
    <w:tbl>
      <w:tblPr>
        <w:tblStyle w:val="25"/>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tcPr>
          <w:p>
            <w:pPr>
              <w:pStyle w:val="36"/>
            </w:pPr>
            <w:r>
              <w:rPr>
                <w:rFonts w:hint="eastAsia"/>
                <w:i/>
                <w:lang w:eastAsia="zh-CN"/>
              </w:rPr>
              <w:t>SAN</w:t>
            </w:r>
            <w:r>
              <w:rPr>
                <w:i/>
              </w:rPr>
              <w:t xml:space="preserve">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36"/>
            </w:pPr>
            <w:r>
              <w:t>Subcarrier spacing (kHz)</w:t>
            </w:r>
          </w:p>
        </w:tc>
        <w:tc>
          <w:tcPr>
            <w:tcW w:w="1694" w:type="dxa"/>
            <w:tcBorders>
              <w:top w:val="single" w:color="auto" w:sz="4" w:space="0"/>
              <w:left w:val="single" w:color="auto" w:sz="4" w:space="0"/>
              <w:bottom w:val="single" w:color="auto" w:sz="4" w:space="0"/>
              <w:right w:val="single" w:color="auto" w:sz="4" w:space="0"/>
            </w:tcBorders>
          </w:tcPr>
          <w:p>
            <w:pPr>
              <w:pStyle w:val="3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36"/>
              <w:rPr>
                <w:lang w:val="en-US"/>
              </w:rPr>
            </w:pPr>
            <w:r>
              <w:t>Wanted signal mean power (dBm)</w:t>
            </w:r>
          </w:p>
          <w:p>
            <w:pPr>
              <w:pStyle w:val="36"/>
            </w:pPr>
            <w:r>
              <w:rPr>
                <w:lang w:val="en-US"/>
              </w:rPr>
              <w:t>(Note 2)</w:t>
            </w:r>
          </w:p>
        </w:tc>
        <w:tc>
          <w:tcPr>
            <w:tcW w:w="1559" w:type="dxa"/>
            <w:tcBorders>
              <w:top w:val="single" w:color="auto" w:sz="4" w:space="0"/>
              <w:left w:val="single" w:color="auto" w:sz="4" w:space="0"/>
              <w:bottom w:val="single" w:color="auto" w:sz="4" w:space="0"/>
              <w:right w:val="single" w:color="auto" w:sz="4" w:space="0"/>
            </w:tcBorders>
          </w:tcPr>
          <w:p>
            <w:pPr>
              <w:pStyle w:val="36"/>
              <w:rPr>
                <w:lang w:val="en-US"/>
              </w:rPr>
            </w:pPr>
            <w:r>
              <w:t>Interfering signal mean power (dBm)</w:t>
            </w:r>
          </w:p>
          <w:p>
            <w:pPr>
              <w:pStyle w:val="36"/>
            </w:pPr>
            <w:r>
              <w:rPr>
                <w:lang w:val="en-US"/>
              </w:rPr>
              <w:t>(Note 2)</w:t>
            </w:r>
          </w:p>
        </w:tc>
        <w:tc>
          <w:tcPr>
            <w:tcW w:w="2286" w:type="dxa"/>
            <w:tcBorders>
              <w:top w:val="single" w:color="auto" w:sz="4" w:space="0"/>
              <w:left w:val="single" w:color="auto" w:sz="4" w:space="0"/>
              <w:bottom w:val="single" w:color="auto" w:sz="4" w:space="0"/>
              <w:right w:val="single" w:color="auto" w:sz="4" w:space="0"/>
            </w:tcBorders>
          </w:tcPr>
          <w:p>
            <w:pPr>
              <w:pStyle w:val="3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50</w:t>
            </w:r>
          </w:p>
        </w:tc>
        <w:tc>
          <w:tcPr>
            <w:tcW w:w="1134" w:type="dxa"/>
            <w:tcBorders>
              <w:left w:val="single" w:color="auto" w:sz="4" w:space="0"/>
              <w:bottom w:val="single" w:color="auto" w:sz="4" w:space="0"/>
              <w:right w:val="single" w:color="auto" w:sz="4" w:space="0"/>
            </w:tcBorders>
            <w:vAlign w:val="center"/>
          </w:tcPr>
          <w:p>
            <w:pPr>
              <w:pStyle w:val="37"/>
            </w:pPr>
            <w:r>
              <w:t>60</w:t>
            </w:r>
          </w:p>
        </w:tc>
        <w:tc>
          <w:tcPr>
            <w:tcW w:w="1694" w:type="dxa"/>
            <w:tcBorders>
              <w:left w:val="single" w:color="auto" w:sz="4" w:space="0"/>
              <w:bottom w:val="single" w:color="auto" w:sz="4" w:space="0"/>
              <w:right w:val="single" w:color="auto" w:sz="4" w:space="0"/>
            </w:tcBorders>
            <w:vAlign w:val="center"/>
          </w:tcPr>
          <w:p>
            <w:pPr>
              <w:pStyle w:val="37"/>
            </w:pPr>
            <w:r>
              <w:t>G-FR2-A1-4</w:t>
            </w:r>
          </w:p>
        </w:tc>
        <w:tc>
          <w:tcPr>
            <w:tcW w:w="1566" w:type="dxa"/>
            <w:tcBorders>
              <w:left w:val="single" w:color="auto" w:sz="4" w:space="0"/>
              <w:bottom w:val="single" w:color="auto" w:sz="4" w:space="0"/>
              <w:right w:val="single" w:color="auto" w:sz="4" w:space="0"/>
            </w:tcBorders>
            <w:vAlign w:val="center"/>
          </w:tcPr>
          <w:p>
            <w:pPr>
              <w:pStyle w:val="37"/>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pPr>
            <w:r>
              <w:t>EIS</w:t>
            </w:r>
            <w:r>
              <w:rPr>
                <w:vertAlign w:val="subscript"/>
              </w:rPr>
              <w:t xml:space="preserve">REFSENS_50M </w:t>
            </w:r>
            <w:r>
              <w:t xml:space="preserve">+ </w:t>
            </w:r>
            <w:r>
              <w:rPr>
                <w:rFonts w:hint="eastAsia"/>
                <w:lang w:val="en-US" w:eastAsia="zh-CN"/>
              </w:rPr>
              <w:t>5</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pPr>
            <w:r>
              <w:rPr>
                <w:lang w:val="en-US"/>
              </w:rPr>
              <w:t xml:space="preserve">DFT-s-OFDM </w:t>
            </w:r>
            <w:r>
              <w:t>NR signal, 60 kHz SCS</w:t>
            </w:r>
            <w:r>
              <w:rPr>
                <w:rFonts w:hint="eastAsia"/>
              </w:rPr>
              <w:t xml:space="preserve">, </w:t>
            </w:r>
            <w:r>
              <w:br w:type="textWrapping"/>
            </w:r>
            <w: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100,200</w:t>
            </w:r>
          </w:p>
        </w:tc>
        <w:tc>
          <w:tcPr>
            <w:tcW w:w="1134" w:type="dxa"/>
            <w:tcBorders>
              <w:left w:val="single" w:color="auto" w:sz="4" w:space="0"/>
              <w:bottom w:val="single" w:color="auto" w:sz="4" w:space="0"/>
              <w:right w:val="single" w:color="auto" w:sz="4" w:space="0"/>
            </w:tcBorders>
            <w:vAlign w:val="center"/>
          </w:tcPr>
          <w:p>
            <w:pPr>
              <w:pStyle w:val="37"/>
            </w:pPr>
            <w:r>
              <w:t>60</w:t>
            </w:r>
          </w:p>
        </w:tc>
        <w:tc>
          <w:tcPr>
            <w:tcW w:w="1694" w:type="dxa"/>
            <w:tcBorders>
              <w:left w:val="single" w:color="auto" w:sz="4" w:space="0"/>
              <w:bottom w:val="single" w:color="auto" w:sz="4" w:space="0"/>
              <w:right w:val="single" w:color="auto" w:sz="4" w:space="0"/>
            </w:tcBorders>
            <w:vAlign w:val="center"/>
          </w:tcPr>
          <w:p>
            <w:pPr>
              <w:pStyle w:val="37"/>
            </w:pPr>
            <w:r>
              <w:t>G-FR2-A1-1</w:t>
            </w:r>
          </w:p>
        </w:tc>
        <w:tc>
          <w:tcPr>
            <w:tcW w:w="1566" w:type="dxa"/>
            <w:tcBorders>
              <w:left w:val="single" w:color="auto" w:sz="4" w:space="0"/>
              <w:bottom w:val="single" w:color="auto" w:sz="4" w:space="0"/>
              <w:right w:val="single" w:color="auto" w:sz="4" w:space="0"/>
            </w:tcBorders>
            <w:vAlign w:val="center"/>
          </w:tcPr>
          <w:p>
            <w:pPr>
              <w:pStyle w:val="37"/>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rPr>
                <w:rFonts w:cs="Arial"/>
                <w:szCs w:val="18"/>
              </w:rPr>
            </w:pPr>
            <w:r>
              <w:t>EIS</w:t>
            </w:r>
            <w:r>
              <w:rPr>
                <w:vertAlign w:val="subscript"/>
              </w:rPr>
              <w:t xml:space="preserve">REFSENS_50M </w:t>
            </w:r>
            <w:r>
              <w:rPr>
                <w:bCs/>
              </w:rPr>
              <w:t xml:space="preserve">+ </w:t>
            </w:r>
            <w:r>
              <w:rPr>
                <w:rFonts w:hint="eastAsia"/>
                <w:bCs/>
                <w:lang w:val="en-US" w:eastAsia="zh-CN"/>
              </w:rPr>
              <w:t>8</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rPr>
                <w:lang w:val="en-US"/>
              </w:rPr>
            </w:pPr>
            <w:r>
              <w:rPr>
                <w:lang w:val="en-US"/>
              </w:rPr>
              <w:t xml:space="preserve">DFT-s-OFDM </w:t>
            </w:r>
            <w:r>
              <w:t>NR signal, 60 kHz SCS</w:t>
            </w:r>
            <w:r>
              <w:rPr>
                <w:rFonts w:hint="eastAsia"/>
              </w:rPr>
              <w:t xml:space="preserve">, </w:t>
            </w:r>
            <w:r>
              <w:br w:type="textWrapping"/>
            </w:r>
            <w:r>
              <w:t>64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50</w:t>
            </w:r>
          </w:p>
        </w:tc>
        <w:tc>
          <w:tcPr>
            <w:tcW w:w="1134" w:type="dxa"/>
            <w:tcBorders>
              <w:left w:val="single" w:color="auto" w:sz="4" w:space="0"/>
              <w:bottom w:val="single" w:color="auto" w:sz="4" w:space="0"/>
              <w:right w:val="single" w:color="auto" w:sz="4" w:space="0"/>
            </w:tcBorders>
            <w:vAlign w:val="center"/>
          </w:tcPr>
          <w:p>
            <w:pPr>
              <w:pStyle w:val="37"/>
            </w:pPr>
            <w:r>
              <w:t>120</w:t>
            </w:r>
          </w:p>
        </w:tc>
        <w:tc>
          <w:tcPr>
            <w:tcW w:w="1694" w:type="dxa"/>
            <w:tcBorders>
              <w:left w:val="single" w:color="auto" w:sz="4" w:space="0"/>
              <w:bottom w:val="single" w:color="auto" w:sz="4" w:space="0"/>
              <w:right w:val="single" w:color="auto" w:sz="4" w:space="0"/>
            </w:tcBorders>
            <w:vAlign w:val="center"/>
          </w:tcPr>
          <w:p>
            <w:pPr>
              <w:pStyle w:val="37"/>
            </w:pPr>
            <w:r>
              <w:t>G-FR2-A1-5</w:t>
            </w:r>
          </w:p>
        </w:tc>
        <w:tc>
          <w:tcPr>
            <w:tcW w:w="1566" w:type="dxa"/>
            <w:tcBorders>
              <w:left w:val="single" w:color="auto" w:sz="4" w:space="0"/>
              <w:bottom w:val="single" w:color="auto" w:sz="4" w:space="0"/>
              <w:right w:val="single" w:color="auto" w:sz="4" w:space="0"/>
            </w:tcBorders>
            <w:vAlign w:val="center"/>
          </w:tcPr>
          <w:p>
            <w:pPr>
              <w:pStyle w:val="37"/>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rPr>
                <w:rFonts w:cs="Arial"/>
                <w:szCs w:val="18"/>
              </w:rPr>
            </w:pPr>
            <w:r>
              <w:t>EIS</w:t>
            </w:r>
            <w:r>
              <w:rPr>
                <w:vertAlign w:val="subscript"/>
              </w:rPr>
              <w:t xml:space="preserve">REFSENS_50M </w:t>
            </w:r>
            <w:r>
              <w:t xml:space="preserve">+ </w:t>
            </w:r>
            <w:r>
              <w:rPr>
                <w:rFonts w:hint="eastAsia"/>
                <w:lang w:val="en-US" w:eastAsia="zh-CN"/>
              </w:rPr>
              <w:t>5</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rPr>
                <w:lang w:val="en-US"/>
              </w:rPr>
            </w:pPr>
            <w:r>
              <w:rPr>
                <w:lang w:val="en-US"/>
              </w:rPr>
              <w:t xml:space="preserve">DFT-s-OFDM </w:t>
            </w:r>
            <w:r>
              <w:t>NR signal, 120 kHz SCS</w:t>
            </w:r>
            <w:r>
              <w:rPr>
                <w:rFonts w:hint="eastAsia"/>
              </w:rPr>
              <w:t xml:space="preserve">, </w:t>
            </w:r>
            <w:r>
              <w:br w:type="textWrapping"/>
            </w:r>
            <w:r>
              <w:t>16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100,200,400</w:t>
            </w:r>
          </w:p>
        </w:tc>
        <w:tc>
          <w:tcPr>
            <w:tcW w:w="1134" w:type="dxa"/>
            <w:tcBorders>
              <w:left w:val="single" w:color="auto" w:sz="4" w:space="0"/>
              <w:bottom w:val="single" w:color="auto" w:sz="4" w:space="0"/>
              <w:right w:val="single" w:color="auto" w:sz="4" w:space="0"/>
            </w:tcBorders>
            <w:vAlign w:val="center"/>
          </w:tcPr>
          <w:p>
            <w:pPr>
              <w:pStyle w:val="37"/>
            </w:pPr>
            <w:r>
              <w:t>120</w:t>
            </w:r>
          </w:p>
        </w:tc>
        <w:tc>
          <w:tcPr>
            <w:tcW w:w="1694" w:type="dxa"/>
            <w:tcBorders>
              <w:left w:val="single" w:color="auto" w:sz="4" w:space="0"/>
              <w:bottom w:val="single" w:color="auto" w:sz="4" w:space="0"/>
              <w:right w:val="single" w:color="auto" w:sz="4" w:space="0"/>
            </w:tcBorders>
            <w:vAlign w:val="center"/>
          </w:tcPr>
          <w:p>
            <w:pPr>
              <w:pStyle w:val="37"/>
            </w:pPr>
            <w:r>
              <w:t>G-FR2-A1-2</w:t>
            </w:r>
          </w:p>
        </w:tc>
        <w:tc>
          <w:tcPr>
            <w:tcW w:w="1566" w:type="dxa"/>
            <w:tcBorders>
              <w:left w:val="single" w:color="auto" w:sz="4" w:space="0"/>
              <w:bottom w:val="single" w:color="auto" w:sz="4" w:space="0"/>
              <w:right w:val="single" w:color="auto" w:sz="4" w:space="0"/>
            </w:tcBorders>
            <w:vAlign w:val="center"/>
          </w:tcPr>
          <w:p>
            <w:pPr>
              <w:pStyle w:val="37"/>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rPr>
                <w:rFonts w:cs="Arial"/>
                <w:szCs w:val="18"/>
              </w:rPr>
            </w:pPr>
            <w:r>
              <w:t>EIS</w:t>
            </w:r>
            <w:r>
              <w:rPr>
                <w:vertAlign w:val="subscript"/>
              </w:rPr>
              <w:t xml:space="preserve">REFSENS_50M </w:t>
            </w:r>
            <w:r>
              <w:rPr>
                <w:bCs/>
                <w:lang w:val="en-US" w:eastAsia="zh-CN"/>
              </w:rPr>
              <w:t xml:space="preserve">+ </w:t>
            </w:r>
            <w:r>
              <w:rPr>
                <w:rFonts w:hint="eastAsia"/>
                <w:bCs/>
                <w:lang w:val="en-US" w:eastAsia="zh-CN"/>
              </w:rPr>
              <w:t>8</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rPr>
                <w:lang w:val="en-US"/>
              </w:rPr>
            </w:pPr>
            <w:r>
              <w:rPr>
                <w:lang w:val="en-US"/>
              </w:rPr>
              <w:t xml:space="preserve">DFT-s-OFDM </w:t>
            </w:r>
            <w:r>
              <w:t>NR signal, 120 kHz SCS</w:t>
            </w:r>
            <w:r>
              <w:rPr>
                <w:rFonts w:hint="eastAsia"/>
              </w:rPr>
              <w:t xml:space="preserve">, </w:t>
            </w:r>
            <w:r>
              <w:br w:type="textWrapping"/>
            </w:r>
            <w: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49"/>
              <w:rPr>
                <w:lang w:val="en-US"/>
              </w:rPr>
            </w:pPr>
            <w:r>
              <w:t>NOTE 1:</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pPr>
              <w:pStyle w:val="49"/>
              <w:rPr>
                <w:lang w:val="en-US"/>
              </w:rPr>
            </w:pPr>
            <w:r>
              <w:t>NOTE 2:</w:t>
            </w:r>
            <w:r>
              <w:tab/>
            </w:r>
            <w:r>
              <w:t>EIS</w:t>
            </w:r>
            <w:r>
              <w:rPr>
                <w:vertAlign w:val="subscript"/>
              </w:rPr>
              <w:t>REFSENS_50M</w:t>
            </w:r>
            <w:r>
              <w:t xml:space="preserve"> is defined in clause 10.3.3.</w:t>
            </w:r>
          </w:p>
        </w:tc>
      </w:tr>
    </w:tbl>
    <w:p>
      <w:pPr>
        <w:rPr>
          <w:rFonts w:hint="default"/>
          <w:lang w:val="en-US" w:eastAsia="zh-CN"/>
        </w:rPr>
      </w:pPr>
    </w:p>
    <w:bookmarkEnd w:id="1"/>
    <w:bookmarkEnd w:id="2"/>
    <w:bookmarkEnd w:id="3"/>
    <w:bookmarkEnd w:id="4"/>
    <w:p>
      <w:pPr>
        <w:pStyle w:val="56"/>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want to share some further views on UE RF requirements for NTN in Ka-band.andproposals are made as following:</w:t>
      </w:r>
    </w:p>
    <w:p>
      <w:r>
        <w:rPr>
          <w:b/>
        </w:rPr>
        <w:t>Proposal 1:</w:t>
      </w:r>
      <w:r>
        <w:t xml:space="preserve"> for frequency range between 30MHz and 12.75GHz, to reuse the FR1 OOBB requirement for Ka-band SAN;</w:t>
      </w:r>
    </w:p>
    <w:p>
      <w:r>
        <w:rPr>
          <w:b/>
        </w:rPr>
        <w:t>Proposal 2:</w:t>
      </w:r>
      <w:r>
        <w:t xml:space="preserve"> for frequency range between 12.75GHz and 2</w:t>
      </w:r>
      <w:r>
        <w:rPr>
          <w:vertAlign w:val="superscript"/>
        </w:rPr>
        <w:t>nd</w:t>
      </w:r>
      <w:r>
        <w:t xml:space="preserve"> harmonic of upper frequency, the following service should be taken into account. </w:t>
      </w:r>
    </w:p>
    <w:p>
      <w:pPr>
        <w:pStyle w:val="35"/>
        <w:numPr>
          <w:ilvl w:val="0"/>
          <w:numId w:val="5"/>
        </w:numPr>
        <w:ind w:firstLineChars="0"/>
      </w:pPr>
      <w:r>
        <w:t>Ku-band satellite UL transmission.</w:t>
      </w:r>
    </w:p>
    <w:p>
      <w:pPr>
        <w:pStyle w:val="35"/>
        <w:numPr>
          <w:ilvl w:val="0"/>
          <w:numId w:val="5"/>
        </w:numPr>
        <w:ind w:firstLineChars="0"/>
      </w:pPr>
      <w:r>
        <w:t xml:space="preserve">Frequency and timing reference signal between satellite nodes; </w:t>
      </w:r>
    </w:p>
    <w:p>
      <w:pPr>
        <w:pStyle w:val="35"/>
        <w:numPr>
          <w:ilvl w:val="0"/>
          <w:numId w:val="5"/>
        </w:numPr>
        <w:ind w:firstLineChars="0"/>
      </w:pPr>
      <w:r>
        <w:t>Wireless positioning between satellite.</w:t>
      </w:r>
    </w:p>
    <w:p>
      <w:pPr>
        <w:rPr>
          <w:rFonts w:hint="eastAsia"/>
          <w:lang w:val="en-US" w:eastAsia="zh-CN"/>
        </w:rPr>
      </w:pPr>
      <w:r>
        <w:rPr>
          <w:rFonts w:hint="default" w:ascii="Times New Roman" w:hAnsi="Times New Roman" w:cs="Times New Roman"/>
          <w:b/>
          <w:lang w:val="en-US" w:eastAsia="zh-CN"/>
        </w:rPr>
        <w:t xml:space="preserve">Proposal 3: </w:t>
      </w:r>
      <w:r>
        <w:rPr>
          <w:rFonts w:hint="eastAsia" w:cs="Times New Roman"/>
          <w:b w:val="0"/>
          <w:bCs/>
          <w:lang w:val="en-US" w:eastAsia="zh-CN"/>
        </w:rPr>
        <w:t>for the OOBB requirement for SAN in Ka-band, propose to define the requirement as following:</w:t>
      </w:r>
    </w:p>
    <w:tbl>
      <w:tblPr>
        <w:tblStyle w:val="25"/>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1"/>
        <w:gridCol w:w="1851"/>
        <w:gridCol w:w="1955"/>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771" w:type="dxa"/>
          </w:tcPr>
          <w:p>
            <w:pPr>
              <w:pStyle w:val="36"/>
            </w:pPr>
            <w:r>
              <w:t>Frequency range of interfering signal</w:t>
            </w:r>
          </w:p>
          <w:p>
            <w:pPr>
              <w:pStyle w:val="36"/>
            </w:pPr>
            <w:r>
              <w:t>(MHz)</w:t>
            </w:r>
          </w:p>
        </w:tc>
        <w:tc>
          <w:tcPr>
            <w:tcW w:w="1851" w:type="dxa"/>
            <w:shd w:val="clear" w:color="auto" w:fill="auto"/>
          </w:tcPr>
          <w:p>
            <w:pPr>
              <w:pStyle w:val="36"/>
            </w:pPr>
            <w:r>
              <w:t>Wanted signal mean power</w:t>
            </w:r>
          </w:p>
          <w:p>
            <w:pPr>
              <w:pStyle w:val="36"/>
              <w:rPr>
                <w:lang w:val="en-US"/>
              </w:rPr>
            </w:pPr>
            <w:r>
              <w:t>(dBm)</w:t>
            </w:r>
          </w:p>
        </w:tc>
        <w:tc>
          <w:tcPr>
            <w:tcW w:w="1955" w:type="dxa"/>
          </w:tcPr>
          <w:p>
            <w:pPr>
              <w:pStyle w:val="36"/>
              <w:rPr>
                <w:lang w:val="en-US"/>
              </w:rPr>
            </w:pPr>
            <w:r>
              <w:rPr>
                <w:lang w:val="en-US"/>
              </w:rPr>
              <w:t>Interferer RMS field-strength</w:t>
            </w:r>
          </w:p>
          <w:p>
            <w:pPr>
              <w:pStyle w:val="36"/>
            </w:pPr>
            <w:r>
              <w:rPr>
                <w:lang w:val="en-US"/>
              </w:rPr>
              <w:t>(V/m)</w:t>
            </w:r>
          </w:p>
        </w:tc>
        <w:tc>
          <w:tcPr>
            <w:tcW w:w="3217" w:type="dxa"/>
          </w:tcPr>
          <w:p>
            <w:pPr>
              <w:pStyle w:val="3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7"/>
            </w:pPr>
            <w:r>
              <w:t>30 to 12750</w:t>
            </w:r>
          </w:p>
        </w:tc>
        <w:tc>
          <w:tcPr>
            <w:tcW w:w="1851" w:type="dxa"/>
            <w:shd w:val="clear" w:color="auto" w:fill="auto"/>
          </w:tcPr>
          <w:p>
            <w:pPr>
              <w:pStyle w:val="37"/>
            </w:pPr>
            <w:r>
              <w:rPr>
                <w:rFonts w:cs="Arial"/>
              </w:rPr>
              <w:t>EIS</w:t>
            </w:r>
            <w:r>
              <w:rPr>
                <w:rFonts w:cs="Arial"/>
                <w:vertAlign w:val="subscript"/>
              </w:rPr>
              <w:t>REFSENS</w:t>
            </w:r>
            <w:r>
              <w:rPr>
                <w:rFonts w:cs="Arial"/>
              </w:rPr>
              <w:t xml:space="preserve"> + 6 dB</w:t>
            </w:r>
          </w:p>
        </w:tc>
        <w:tc>
          <w:tcPr>
            <w:tcW w:w="1955" w:type="dxa"/>
          </w:tcPr>
          <w:p>
            <w:pPr>
              <w:pStyle w:val="37"/>
              <w:rPr>
                <w:rFonts w:cs="Arial"/>
              </w:rPr>
            </w:pPr>
            <w:r>
              <w:t>0.0029</w:t>
            </w:r>
          </w:p>
        </w:tc>
        <w:tc>
          <w:tcPr>
            <w:tcW w:w="3217" w:type="dxa"/>
          </w:tcPr>
          <w:p>
            <w:pPr>
              <w:pStyle w:val="37"/>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7"/>
              <w:rPr>
                <w:rFonts w:hint="eastAsia" w:eastAsia="宋体"/>
                <w:lang w:val="en-US" w:eastAsia="zh-CN"/>
              </w:rPr>
            </w:pPr>
            <w:r>
              <w:t>12750 to F</w:t>
            </w:r>
            <w:r>
              <w:rPr>
                <w:vertAlign w:val="subscript"/>
              </w:rPr>
              <w:t>UL</w:t>
            </w:r>
            <w:r>
              <w:rPr>
                <w:rFonts w:cs="Arial"/>
                <w:vertAlign w:val="subscript"/>
              </w:rPr>
              <w:t xml:space="preserve">,low </w:t>
            </w:r>
            <w:r>
              <w:rPr>
                <w:rFonts w:cs="Arial"/>
              </w:rPr>
              <w:t xml:space="preserve">– </w:t>
            </w:r>
            <w:r>
              <w:rPr>
                <w:rFonts w:hint="eastAsia" w:eastAsia="宋体" w:cs="Arial"/>
                <w:lang w:val="en-US" w:eastAsia="zh-CN"/>
              </w:rPr>
              <w:t>[</w:t>
            </w:r>
            <w:r>
              <w:rPr>
                <w:rFonts w:cs="Arial"/>
              </w:rPr>
              <w:t>1500</w:t>
            </w:r>
            <w:r>
              <w:rPr>
                <w:rFonts w:hint="eastAsia" w:eastAsia="宋体" w:cs="Arial"/>
                <w:lang w:val="en-US" w:eastAsia="zh-CN"/>
              </w:rPr>
              <w:t>]</w:t>
            </w:r>
          </w:p>
        </w:tc>
        <w:tc>
          <w:tcPr>
            <w:tcW w:w="1851" w:type="dxa"/>
            <w:shd w:val="clear" w:color="auto" w:fill="auto"/>
          </w:tcPr>
          <w:p>
            <w:pPr>
              <w:pStyle w:val="37"/>
            </w:pPr>
            <w:r>
              <w:rPr>
                <w:rFonts w:cs="Arial"/>
              </w:rPr>
              <w:t>EIS</w:t>
            </w:r>
            <w:r>
              <w:rPr>
                <w:rFonts w:cs="Arial"/>
                <w:vertAlign w:val="subscript"/>
              </w:rPr>
              <w:t>REFSENS</w:t>
            </w:r>
            <w:r>
              <w:rPr>
                <w:rFonts w:cs="Arial"/>
              </w:rPr>
              <w:t xml:space="preserve"> + 6 dB</w:t>
            </w:r>
          </w:p>
        </w:tc>
        <w:tc>
          <w:tcPr>
            <w:tcW w:w="1955" w:type="dxa"/>
          </w:tcPr>
          <w:p>
            <w:pPr>
              <w:pStyle w:val="37"/>
              <w:rPr>
                <w:rFonts w:cs="Arial"/>
              </w:rPr>
            </w:pPr>
            <w:r>
              <w:t>0.0029</w:t>
            </w:r>
          </w:p>
        </w:tc>
        <w:tc>
          <w:tcPr>
            <w:tcW w:w="3217" w:type="dxa"/>
          </w:tcPr>
          <w:p>
            <w:pPr>
              <w:pStyle w:val="37"/>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pPr>
              <w:pStyle w:val="37"/>
            </w:pPr>
            <w:r>
              <w:t>F</w:t>
            </w:r>
            <w:r>
              <w:rPr>
                <w:vertAlign w:val="subscript"/>
              </w:rPr>
              <w:t>UL</w:t>
            </w:r>
            <w:r>
              <w:rPr>
                <w:rFonts w:cs="Arial"/>
                <w:vertAlign w:val="subscript"/>
              </w:rPr>
              <w:t xml:space="preserve">,high </w:t>
            </w:r>
            <w:r>
              <w:rPr>
                <w:rFonts w:cs="Arial"/>
              </w:rPr>
              <w:t xml:space="preserve">+ </w:t>
            </w:r>
            <w:r>
              <w:rPr>
                <w:rFonts w:hint="eastAsia" w:eastAsia="宋体" w:cs="Arial"/>
                <w:lang w:val="en-US" w:eastAsia="zh-CN"/>
              </w:rPr>
              <w:t>[</w:t>
            </w:r>
            <w:r>
              <w:rPr>
                <w:rFonts w:cs="Arial"/>
              </w:rPr>
              <w:t>1500</w:t>
            </w:r>
            <w:r>
              <w:rPr>
                <w:rFonts w:hint="eastAsia" w:eastAsia="宋体" w:cs="Arial"/>
                <w:lang w:val="en-US" w:eastAsia="zh-CN"/>
              </w:rPr>
              <w:t>]</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pPr>
              <w:pStyle w:val="37"/>
            </w:pPr>
            <w:r>
              <w:rPr>
                <w:rFonts w:cs="Arial"/>
              </w:rPr>
              <w:t>EIS</w:t>
            </w:r>
            <w:r>
              <w:rPr>
                <w:rFonts w:cs="Arial"/>
                <w:vertAlign w:val="subscript"/>
              </w:rPr>
              <w:t>REFSENS</w:t>
            </w:r>
            <w:r>
              <w:rPr>
                <w:rFonts w:cs="Arial"/>
              </w:rPr>
              <w:t xml:space="preserve"> + 6 dB</w:t>
            </w:r>
          </w:p>
        </w:tc>
        <w:tc>
          <w:tcPr>
            <w:tcW w:w="1955" w:type="dxa"/>
          </w:tcPr>
          <w:p>
            <w:pPr>
              <w:pStyle w:val="37"/>
              <w:rPr>
                <w:rFonts w:cs="Arial"/>
              </w:rPr>
            </w:pPr>
            <w:r>
              <w:t>0.0029</w:t>
            </w:r>
            <w:r>
              <w:rPr>
                <w:rFonts w:eastAsia="宋体"/>
                <w:lang w:eastAsia="zh-CN"/>
              </w:rPr>
              <w:t xml:space="preserve"> </w:t>
            </w:r>
          </w:p>
        </w:tc>
        <w:tc>
          <w:tcPr>
            <w:tcW w:w="3217" w:type="dxa"/>
          </w:tcPr>
          <w:p>
            <w:pPr>
              <w:pStyle w:val="37"/>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94" w:type="dxa"/>
            <w:gridSpan w:val="4"/>
          </w:tcPr>
          <w:p>
            <w:pPr>
              <w:pStyle w:val="49"/>
            </w:pPr>
            <w:r>
              <w:t>NOTE 1:</w:t>
            </w:r>
            <w:r>
              <w:tab/>
            </w:r>
            <w:r>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pPr>
              <w:pStyle w:val="37"/>
              <w:jc w:val="left"/>
            </w:pPr>
            <w:r>
              <w:t>NOTE 2:</w:t>
            </w:r>
            <w:r>
              <w:tab/>
            </w:r>
            <w:r>
              <w:t xml:space="preserve">The RMS field-strength level in V/m is related to the interferer EIRP level at a distance described as </w:t>
            </w:r>
            <w:r>
              <w:rPr>
                <w:position w:val="-24"/>
              </w:rPr>
              <w:object>
                <v:shape id="_x0000_i1026" o:spt="75" type="#_x0000_t75" style="height:31pt;width:5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4">
                  <o:LockedField>false</o:LockedField>
                </o:OLEObject>
              </w:object>
            </w:r>
            <w:r>
              <w:t>, where EIRP is in W and r is in m.</w:t>
            </w:r>
          </w:p>
        </w:tc>
      </w:tr>
    </w:tbl>
    <w:p>
      <w:pPr>
        <w:rPr>
          <w:rFonts w:hint="eastAsia"/>
          <w:b/>
          <w:bCs/>
          <w:lang w:val="en-US" w:eastAsia="zh-CN"/>
        </w:rPr>
      </w:pPr>
    </w:p>
    <w:p>
      <w:pPr>
        <w:rPr>
          <w:rFonts w:hint="eastAsia"/>
          <w:lang w:val="en-US" w:eastAsia="zh-CN"/>
        </w:rPr>
      </w:pPr>
      <w:r>
        <w:rPr>
          <w:rFonts w:hint="default" w:ascii="Times New Roman" w:hAnsi="Times New Roman" w:cs="Times New Roman"/>
          <w:b/>
          <w:lang w:val="en-US" w:eastAsia="zh-CN"/>
        </w:rPr>
        <w:t xml:space="preserve">Proposal </w:t>
      </w:r>
      <w:r>
        <w:rPr>
          <w:rFonts w:hint="eastAsia" w:cs="Times New Roman"/>
          <w:b/>
          <w:lang w:val="en-US" w:eastAsia="zh-CN"/>
        </w:rPr>
        <w:t>4</w:t>
      </w:r>
      <w:r>
        <w:rPr>
          <w:rFonts w:hint="default" w:ascii="Times New Roman" w:hAnsi="Times New Roman" w:cs="Times New Roman"/>
          <w:b/>
          <w:lang w:val="en-US" w:eastAsia="zh-CN"/>
        </w:rPr>
        <w:t xml:space="preserve">: </w:t>
      </w:r>
      <w:r>
        <w:rPr>
          <w:rFonts w:hint="eastAsia" w:cs="Times New Roman"/>
          <w:b w:val="0"/>
          <w:bCs/>
          <w:lang w:val="en-US" w:eastAsia="zh-CN"/>
        </w:rPr>
        <w:t>for the ICS requirement for SAN in Ka-band, propose to define the requirement as following:</w:t>
      </w:r>
    </w:p>
    <w:tbl>
      <w:tblPr>
        <w:tblStyle w:val="25"/>
        <w:tblW w:w="9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134"/>
        <w:gridCol w:w="1694"/>
        <w:gridCol w:w="1566"/>
        <w:gridCol w:w="1559"/>
        <w:gridCol w:w="2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tcPr>
          <w:p>
            <w:pPr>
              <w:pStyle w:val="36"/>
            </w:pPr>
            <w:r>
              <w:rPr>
                <w:rFonts w:hint="eastAsia"/>
                <w:i/>
                <w:lang w:eastAsia="zh-CN"/>
              </w:rPr>
              <w:t>SAN</w:t>
            </w:r>
            <w:r>
              <w:rPr>
                <w:i/>
              </w:rPr>
              <w:t xml:space="preserve"> channel bandwidth</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36"/>
            </w:pPr>
            <w:r>
              <w:t>Subcarrier spacing (kHz)</w:t>
            </w:r>
          </w:p>
        </w:tc>
        <w:tc>
          <w:tcPr>
            <w:tcW w:w="1694" w:type="dxa"/>
            <w:tcBorders>
              <w:top w:val="single" w:color="auto" w:sz="4" w:space="0"/>
              <w:left w:val="single" w:color="auto" w:sz="4" w:space="0"/>
              <w:bottom w:val="single" w:color="auto" w:sz="4" w:space="0"/>
              <w:right w:val="single" w:color="auto" w:sz="4" w:space="0"/>
            </w:tcBorders>
          </w:tcPr>
          <w:p>
            <w:pPr>
              <w:pStyle w:val="36"/>
            </w:pPr>
            <w:r>
              <w:t>Reference measurement channel</w:t>
            </w:r>
          </w:p>
        </w:tc>
        <w:tc>
          <w:tcPr>
            <w:tcW w:w="1566" w:type="dxa"/>
            <w:tcBorders>
              <w:top w:val="single" w:color="auto" w:sz="4" w:space="0"/>
              <w:left w:val="single" w:color="auto" w:sz="4" w:space="0"/>
              <w:bottom w:val="single" w:color="auto" w:sz="4" w:space="0"/>
              <w:right w:val="single" w:color="auto" w:sz="4" w:space="0"/>
            </w:tcBorders>
          </w:tcPr>
          <w:p>
            <w:pPr>
              <w:pStyle w:val="36"/>
              <w:rPr>
                <w:lang w:val="en-US"/>
              </w:rPr>
            </w:pPr>
            <w:r>
              <w:t>Wanted signal mean power (dBm)</w:t>
            </w:r>
          </w:p>
          <w:p>
            <w:pPr>
              <w:pStyle w:val="36"/>
            </w:pPr>
            <w:r>
              <w:rPr>
                <w:lang w:val="en-US"/>
              </w:rPr>
              <w:t>(Note 2)</w:t>
            </w:r>
          </w:p>
        </w:tc>
        <w:tc>
          <w:tcPr>
            <w:tcW w:w="1559" w:type="dxa"/>
            <w:tcBorders>
              <w:top w:val="single" w:color="auto" w:sz="4" w:space="0"/>
              <w:left w:val="single" w:color="auto" w:sz="4" w:space="0"/>
              <w:bottom w:val="single" w:color="auto" w:sz="4" w:space="0"/>
              <w:right w:val="single" w:color="auto" w:sz="4" w:space="0"/>
            </w:tcBorders>
          </w:tcPr>
          <w:p>
            <w:pPr>
              <w:pStyle w:val="36"/>
              <w:rPr>
                <w:lang w:val="en-US"/>
              </w:rPr>
            </w:pPr>
            <w:r>
              <w:t>Interfering signal mean power (dBm)</w:t>
            </w:r>
          </w:p>
          <w:p>
            <w:pPr>
              <w:pStyle w:val="36"/>
            </w:pPr>
            <w:r>
              <w:rPr>
                <w:lang w:val="en-US"/>
              </w:rPr>
              <w:t>(Note 2)</w:t>
            </w:r>
          </w:p>
        </w:tc>
        <w:tc>
          <w:tcPr>
            <w:tcW w:w="2286" w:type="dxa"/>
            <w:tcBorders>
              <w:top w:val="single" w:color="auto" w:sz="4" w:space="0"/>
              <w:left w:val="single" w:color="auto" w:sz="4" w:space="0"/>
              <w:bottom w:val="single" w:color="auto" w:sz="4" w:space="0"/>
              <w:right w:val="single" w:color="auto" w:sz="4" w:space="0"/>
            </w:tcBorders>
          </w:tcPr>
          <w:p>
            <w:pPr>
              <w:pStyle w:val="3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50</w:t>
            </w:r>
          </w:p>
        </w:tc>
        <w:tc>
          <w:tcPr>
            <w:tcW w:w="1134" w:type="dxa"/>
            <w:tcBorders>
              <w:left w:val="single" w:color="auto" w:sz="4" w:space="0"/>
              <w:bottom w:val="single" w:color="auto" w:sz="4" w:space="0"/>
              <w:right w:val="single" w:color="auto" w:sz="4" w:space="0"/>
            </w:tcBorders>
            <w:vAlign w:val="center"/>
          </w:tcPr>
          <w:p>
            <w:pPr>
              <w:pStyle w:val="37"/>
            </w:pPr>
            <w:r>
              <w:t>60</w:t>
            </w:r>
          </w:p>
        </w:tc>
        <w:tc>
          <w:tcPr>
            <w:tcW w:w="1694" w:type="dxa"/>
            <w:tcBorders>
              <w:left w:val="single" w:color="auto" w:sz="4" w:space="0"/>
              <w:bottom w:val="single" w:color="auto" w:sz="4" w:space="0"/>
              <w:right w:val="single" w:color="auto" w:sz="4" w:space="0"/>
            </w:tcBorders>
            <w:vAlign w:val="center"/>
          </w:tcPr>
          <w:p>
            <w:pPr>
              <w:pStyle w:val="37"/>
            </w:pPr>
            <w:r>
              <w:t>G-FR2-A1-4</w:t>
            </w:r>
          </w:p>
        </w:tc>
        <w:tc>
          <w:tcPr>
            <w:tcW w:w="1566" w:type="dxa"/>
            <w:tcBorders>
              <w:left w:val="single" w:color="auto" w:sz="4" w:space="0"/>
              <w:bottom w:val="single" w:color="auto" w:sz="4" w:space="0"/>
              <w:right w:val="single" w:color="auto" w:sz="4" w:space="0"/>
            </w:tcBorders>
            <w:vAlign w:val="center"/>
          </w:tcPr>
          <w:p>
            <w:pPr>
              <w:pStyle w:val="37"/>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pPr>
            <w:r>
              <w:t>EIS</w:t>
            </w:r>
            <w:r>
              <w:rPr>
                <w:vertAlign w:val="subscript"/>
              </w:rPr>
              <w:t xml:space="preserve">REFSENS_50M </w:t>
            </w:r>
            <w:r>
              <w:t xml:space="preserve">+ </w:t>
            </w:r>
            <w:r>
              <w:rPr>
                <w:rFonts w:hint="eastAsia"/>
                <w:lang w:val="en-US" w:eastAsia="zh-CN"/>
              </w:rPr>
              <w:t>5</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pPr>
            <w:r>
              <w:rPr>
                <w:lang w:val="en-US"/>
              </w:rPr>
              <w:t xml:space="preserve">DFT-s-OFDM </w:t>
            </w:r>
            <w:r>
              <w:t>NR signal, 60 kHz SCS</w:t>
            </w:r>
            <w:r>
              <w:rPr>
                <w:rFonts w:hint="eastAsia"/>
              </w:rPr>
              <w:t xml:space="preserve">, </w:t>
            </w:r>
            <w:r>
              <w:br w:type="textWrapping"/>
            </w:r>
            <w: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100,200</w:t>
            </w:r>
          </w:p>
        </w:tc>
        <w:tc>
          <w:tcPr>
            <w:tcW w:w="1134" w:type="dxa"/>
            <w:tcBorders>
              <w:left w:val="single" w:color="auto" w:sz="4" w:space="0"/>
              <w:bottom w:val="single" w:color="auto" w:sz="4" w:space="0"/>
              <w:right w:val="single" w:color="auto" w:sz="4" w:space="0"/>
            </w:tcBorders>
            <w:vAlign w:val="center"/>
          </w:tcPr>
          <w:p>
            <w:pPr>
              <w:pStyle w:val="37"/>
            </w:pPr>
            <w:r>
              <w:t>60</w:t>
            </w:r>
          </w:p>
        </w:tc>
        <w:tc>
          <w:tcPr>
            <w:tcW w:w="1694" w:type="dxa"/>
            <w:tcBorders>
              <w:left w:val="single" w:color="auto" w:sz="4" w:space="0"/>
              <w:bottom w:val="single" w:color="auto" w:sz="4" w:space="0"/>
              <w:right w:val="single" w:color="auto" w:sz="4" w:space="0"/>
            </w:tcBorders>
            <w:vAlign w:val="center"/>
          </w:tcPr>
          <w:p>
            <w:pPr>
              <w:pStyle w:val="37"/>
            </w:pPr>
            <w:r>
              <w:t>G-FR2-A1-1</w:t>
            </w:r>
          </w:p>
        </w:tc>
        <w:tc>
          <w:tcPr>
            <w:tcW w:w="1566" w:type="dxa"/>
            <w:tcBorders>
              <w:left w:val="single" w:color="auto" w:sz="4" w:space="0"/>
              <w:bottom w:val="single" w:color="auto" w:sz="4" w:space="0"/>
              <w:right w:val="single" w:color="auto" w:sz="4" w:space="0"/>
            </w:tcBorders>
            <w:vAlign w:val="center"/>
          </w:tcPr>
          <w:p>
            <w:pPr>
              <w:pStyle w:val="37"/>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rPr>
                <w:rFonts w:cs="Arial"/>
                <w:szCs w:val="18"/>
              </w:rPr>
            </w:pPr>
            <w:r>
              <w:t>EIS</w:t>
            </w:r>
            <w:r>
              <w:rPr>
                <w:vertAlign w:val="subscript"/>
              </w:rPr>
              <w:t xml:space="preserve">REFSENS_50M </w:t>
            </w:r>
            <w:r>
              <w:rPr>
                <w:bCs/>
              </w:rPr>
              <w:t xml:space="preserve">+ </w:t>
            </w:r>
            <w:r>
              <w:rPr>
                <w:rFonts w:hint="eastAsia"/>
                <w:bCs/>
                <w:lang w:val="en-US" w:eastAsia="zh-CN"/>
              </w:rPr>
              <w:t>8</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rPr>
                <w:lang w:val="en-US"/>
              </w:rPr>
            </w:pPr>
            <w:r>
              <w:rPr>
                <w:lang w:val="en-US"/>
              </w:rPr>
              <w:t xml:space="preserve">DFT-s-OFDM </w:t>
            </w:r>
            <w:r>
              <w:t>NR signal, 60 kHz SCS</w:t>
            </w:r>
            <w:r>
              <w:rPr>
                <w:rFonts w:hint="eastAsia"/>
              </w:rPr>
              <w:t xml:space="preserve">, </w:t>
            </w:r>
            <w:r>
              <w:br w:type="textWrapping"/>
            </w:r>
            <w:r>
              <w:t>64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50</w:t>
            </w:r>
          </w:p>
        </w:tc>
        <w:tc>
          <w:tcPr>
            <w:tcW w:w="1134" w:type="dxa"/>
            <w:tcBorders>
              <w:left w:val="single" w:color="auto" w:sz="4" w:space="0"/>
              <w:bottom w:val="single" w:color="auto" w:sz="4" w:space="0"/>
              <w:right w:val="single" w:color="auto" w:sz="4" w:space="0"/>
            </w:tcBorders>
            <w:vAlign w:val="center"/>
          </w:tcPr>
          <w:p>
            <w:pPr>
              <w:pStyle w:val="37"/>
            </w:pPr>
            <w:r>
              <w:t>120</w:t>
            </w:r>
          </w:p>
        </w:tc>
        <w:tc>
          <w:tcPr>
            <w:tcW w:w="1694" w:type="dxa"/>
            <w:tcBorders>
              <w:left w:val="single" w:color="auto" w:sz="4" w:space="0"/>
              <w:bottom w:val="single" w:color="auto" w:sz="4" w:space="0"/>
              <w:right w:val="single" w:color="auto" w:sz="4" w:space="0"/>
            </w:tcBorders>
            <w:vAlign w:val="center"/>
          </w:tcPr>
          <w:p>
            <w:pPr>
              <w:pStyle w:val="37"/>
            </w:pPr>
            <w:r>
              <w:t>G-FR2-A1-5</w:t>
            </w:r>
          </w:p>
        </w:tc>
        <w:tc>
          <w:tcPr>
            <w:tcW w:w="1566" w:type="dxa"/>
            <w:tcBorders>
              <w:left w:val="single" w:color="auto" w:sz="4" w:space="0"/>
              <w:bottom w:val="single" w:color="auto" w:sz="4" w:space="0"/>
              <w:right w:val="single" w:color="auto" w:sz="4" w:space="0"/>
            </w:tcBorders>
            <w:vAlign w:val="center"/>
          </w:tcPr>
          <w:p>
            <w:pPr>
              <w:pStyle w:val="37"/>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rPr>
                <w:rFonts w:cs="Arial"/>
                <w:szCs w:val="18"/>
              </w:rPr>
            </w:pPr>
            <w:r>
              <w:t>EIS</w:t>
            </w:r>
            <w:r>
              <w:rPr>
                <w:vertAlign w:val="subscript"/>
              </w:rPr>
              <w:t xml:space="preserve">REFSENS_50M </w:t>
            </w:r>
            <w:r>
              <w:t xml:space="preserve">+ </w:t>
            </w:r>
            <w:r>
              <w:rPr>
                <w:rFonts w:hint="eastAsia"/>
                <w:lang w:val="en-US" w:eastAsia="zh-CN"/>
              </w:rPr>
              <w:t>5</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rPr>
                <w:lang w:val="en-US"/>
              </w:rPr>
            </w:pPr>
            <w:r>
              <w:rPr>
                <w:lang w:val="en-US"/>
              </w:rPr>
              <w:t xml:space="preserve">DFT-s-OFDM </w:t>
            </w:r>
            <w:r>
              <w:t>NR signal, 120 kHz SCS</w:t>
            </w:r>
            <w:r>
              <w:rPr>
                <w:rFonts w:hint="eastAsia"/>
              </w:rPr>
              <w:t xml:space="preserve">, </w:t>
            </w:r>
            <w:r>
              <w:br w:type="textWrapping"/>
            </w:r>
            <w:r>
              <w:t>16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36" w:type="dxa"/>
            <w:tcBorders>
              <w:top w:val="single" w:color="auto" w:sz="4" w:space="0"/>
              <w:left w:val="single" w:color="auto" w:sz="4" w:space="0"/>
              <w:bottom w:val="single" w:color="auto" w:sz="4" w:space="0"/>
              <w:right w:val="single" w:color="auto" w:sz="4" w:space="0"/>
            </w:tcBorders>
            <w:vAlign w:val="center"/>
          </w:tcPr>
          <w:p>
            <w:pPr>
              <w:pStyle w:val="37"/>
            </w:pPr>
            <w:r>
              <w:t>100,200,400</w:t>
            </w:r>
          </w:p>
        </w:tc>
        <w:tc>
          <w:tcPr>
            <w:tcW w:w="1134" w:type="dxa"/>
            <w:tcBorders>
              <w:left w:val="single" w:color="auto" w:sz="4" w:space="0"/>
              <w:bottom w:val="single" w:color="auto" w:sz="4" w:space="0"/>
              <w:right w:val="single" w:color="auto" w:sz="4" w:space="0"/>
            </w:tcBorders>
            <w:vAlign w:val="center"/>
          </w:tcPr>
          <w:p>
            <w:pPr>
              <w:pStyle w:val="37"/>
            </w:pPr>
            <w:r>
              <w:t>120</w:t>
            </w:r>
          </w:p>
        </w:tc>
        <w:tc>
          <w:tcPr>
            <w:tcW w:w="1694" w:type="dxa"/>
            <w:tcBorders>
              <w:left w:val="single" w:color="auto" w:sz="4" w:space="0"/>
              <w:bottom w:val="single" w:color="auto" w:sz="4" w:space="0"/>
              <w:right w:val="single" w:color="auto" w:sz="4" w:space="0"/>
            </w:tcBorders>
            <w:vAlign w:val="center"/>
          </w:tcPr>
          <w:p>
            <w:pPr>
              <w:pStyle w:val="37"/>
            </w:pPr>
            <w:r>
              <w:t>G-FR2-A1-2</w:t>
            </w:r>
          </w:p>
        </w:tc>
        <w:tc>
          <w:tcPr>
            <w:tcW w:w="1566" w:type="dxa"/>
            <w:tcBorders>
              <w:left w:val="single" w:color="auto" w:sz="4" w:space="0"/>
              <w:bottom w:val="single" w:color="auto" w:sz="4" w:space="0"/>
              <w:right w:val="single" w:color="auto" w:sz="4" w:space="0"/>
            </w:tcBorders>
            <w:vAlign w:val="center"/>
          </w:tcPr>
          <w:p>
            <w:pPr>
              <w:pStyle w:val="37"/>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color="auto" w:sz="4" w:space="0"/>
              <w:bottom w:val="single" w:color="auto" w:sz="4" w:space="0"/>
              <w:right w:val="single" w:color="auto" w:sz="4" w:space="0"/>
            </w:tcBorders>
            <w:vAlign w:val="center"/>
          </w:tcPr>
          <w:p>
            <w:pPr>
              <w:pStyle w:val="37"/>
              <w:rPr>
                <w:rFonts w:cs="Arial"/>
                <w:szCs w:val="18"/>
              </w:rPr>
            </w:pPr>
            <w:r>
              <w:t>EIS</w:t>
            </w:r>
            <w:r>
              <w:rPr>
                <w:vertAlign w:val="subscript"/>
              </w:rPr>
              <w:t xml:space="preserve">REFSENS_50M </w:t>
            </w:r>
            <w:r>
              <w:rPr>
                <w:bCs/>
                <w:lang w:val="en-US" w:eastAsia="zh-CN"/>
              </w:rPr>
              <w:t xml:space="preserve">+ </w:t>
            </w:r>
            <w:r>
              <w:rPr>
                <w:rFonts w:hint="eastAsia"/>
                <w:bCs/>
                <w:lang w:val="en-US" w:eastAsia="zh-CN"/>
              </w:rPr>
              <w:t>8</w:t>
            </w:r>
            <w:r>
              <w:t xml:space="preserve"> </w:t>
            </w:r>
            <w:r>
              <w:rPr>
                <w:rFonts w:cs="Arial"/>
              </w:rPr>
              <w:t xml:space="preserve">+ </w:t>
            </w:r>
            <w:r>
              <w:t>Δ</w:t>
            </w:r>
            <w:r>
              <w:rPr>
                <w:vertAlign w:val="subscript"/>
              </w:rPr>
              <w:t>FR2_REFSENS</w:t>
            </w:r>
          </w:p>
        </w:tc>
        <w:tc>
          <w:tcPr>
            <w:tcW w:w="2286" w:type="dxa"/>
            <w:tcBorders>
              <w:left w:val="single" w:color="auto" w:sz="4" w:space="0"/>
              <w:bottom w:val="single" w:color="auto" w:sz="4" w:space="0"/>
              <w:right w:val="single" w:color="auto" w:sz="4" w:space="0"/>
            </w:tcBorders>
            <w:vAlign w:val="center"/>
          </w:tcPr>
          <w:p>
            <w:pPr>
              <w:pStyle w:val="37"/>
              <w:rPr>
                <w:lang w:val="en-US"/>
              </w:rPr>
            </w:pPr>
            <w:r>
              <w:rPr>
                <w:lang w:val="en-US"/>
              </w:rPr>
              <w:t xml:space="preserve">DFT-s-OFDM </w:t>
            </w:r>
            <w:r>
              <w:t>NR signal, 120 kHz SCS</w:t>
            </w:r>
            <w:r>
              <w:rPr>
                <w:rFonts w:hint="eastAsia"/>
              </w:rPr>
              <w:t xml:space="preserve">, </w:t>
            </w:r>
            <w:r>
              <w:br w:type="textWrapping"/>
            </w:r>
            <w:r>
              <w:t>32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5" w:type="dxa"/>
            <w:gridSpan w:val="6"/>
            <w:tcBorders>
              <w:top w:val="single" w:color="auto" w:sz="4" w:space="0"/>
              <w:left w:val="single" w:color="auto" w:sz="4" w:space="0"/>
              <w:bottom w:val="single" w:color="auto" w:sz="4" w:space="0"/>
              <w:right w:val="single" w:color="auto" w:sz="4" w:space="0"/>
            </w:tcBorders>
            <w:vAlign w:val="center"/>
          </w:tcPr>
          <w:p>
            <w:pPr>
              <w:pStyle w:val="49"/>
              <w:rPr>
                <w:lang w:val="en-US"/>
              </w:rPr>
            </w:pPr>
            <w:r>
              <w:t>NOTE 1:</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pPr>
              <w:pStyle w:val="49"/>
              <w:rPr>
                <w:lang w:val="en-US"/>
              </w:rPr>
            </w:pPr>
            <w:r>
              <w:t>NOTE 2:</w:t>
            </w:r>
            <w:r>
              <w:tab/>
            </w:r>
            <w:r>
              <w:t>EIS</w:t>
            </w:r>
            <w:r>
              <w:rPr>
                <w:vertAlign w:val="subscript"/>
              </w:rPr>
              <w:t>REFSENS_50M</w:t>
            </w:r>
            <w:r>
              <w:t xml:space="preserve"> is defined in clause 10.3.3.</w:t>
            </w:r>
          </w:p>
        </w:tc>
      </w:tr>
    </w:tbl>
    <w:p>
      <w:pPr>
        <w:rPr>
          <w:rFonts w:hint="eastAsia"/>
          <w:lang w:val="en-US" w:eastAsia="zh-CN"/>
        </w:rPr>
      </w:pPr>
    </w:p>
    <w:p>
      <w:pPr>
        <w:pStyle w:val="56"/>
        <w:tabs>
          <w:tab w:val="left" w:pos="567"/>
          <w:tab w:val="clear" w:pos="1985"/>
        </w:tabs>
        <w:adjustRightInd w:val="0"/>
        <w:ind w:left="510" w:hanging="510"/>
      </w:pPr>
      <w:r>
        <w:t>References</w:t>
      </w:r>
    </w:p>
    <w:p>
      <w:pPr>
        <w:pStyle w:val="54"/>
        <w:numPr>
          <w:ilvl w:val="0"/>
          <w:numId w:val="6"/>
        </w:numPr>
        <w:rPr>
          <w:sz w:val="20"/>
          <w:szCs w:val="20"/>
        </w:rPr>
      </w:pPr>
      <w:r>
        <w:rPr>
          <w:rFonts w:hint="eastAsia"/>
          <w:sz w:val="20"/>
          <w:szCs w:val="20"/>
        </w:rPr>
        <w:t>RP-221819, Core part: NR NTN (Non-Terrestrial Networks) enhancements, Thales, Approved.</w:t>
      </w:r>
    </w:p>
    <w:p>
      <w:pPr>
        <w:pStyle w:val="54"/>
        <w:numPr>
          <w:ilvl w:val="0"/>
          <w:numId w:val="6"/>
        </w:numPr>
        <w:rPr>
          <w:sz w:val="20"/>
          <w:szCs w:val="20"/>
        </w:rPr>
      </w:pPr>
      <w:r>
        <w:rPr>
          <w:rFonts w:hint="eastAsia"/>
          <w:sz w:val="20"/>
          <w:szCs w:val="20"/>
        </w:rPr>
        <w:t>RP-222654, Core part: NR NTN (Non-Terrestrial Networks) enhancements, Thales, Approved.</w:t>
      </w:r>
    </w:p>
    <w:p>
      <w:pPr>
        <w:pStyle w:val="54"/>
        <w:numPr>
          <w:ilvl w:val="0"/>
          <w:numId w:val="6"/>
        </w:numPr>
        <w:rPr>
          <w:sz w:val="20"/>
          <w:szCs w:val="20"/>
        </w:rPr>
      </w:pPr>
      <w:r>
        <w:rPr>
          <w:rFonts w:hint="eastAsia"/>
          <w:sz w:val="20"/>
          <w:szCs w:val="20"/>
        </w:rPr>
        <w:t>TR 38.821</w:t>
      </w:r>
    </w:p>
    <w:p>
      <w:pPr>
        <w:pStyle w:val="54"/>
        <w:numPr>
          <w:ilvl w:val="0"/>
          <w:numId w:val="6"/>
        </w:numPr>
        <w:rPr>
          <w:sz w:val="20"/>
          <w:szCs w:val="20"/>
        </w:rPr>
      </w:pPr>
      <w:r>
        <w:rPr>
          <w:rFonts w:hint="eastAsia"/>
          <w:sz w:val="20"/>
          <w:szCs w:val="20"/>
        </w:rPr>
        <w:t>TR 38.803</w:t>
      </w:r>
    </w:p>
    <w:p>
      <w:pPr>
        <w:pStyle w:val="54"/>
        <w:numPr>
          <w:ilvl w:val="0"/>
          <w:numId w:val="6"/>
        </w:numPr>
        <w:rPr>
          <w:sz w:val="20"/>
          <w:szCs w:val="20"/>
        </w:rPr>
      </w:pPr>
      <w:r>
        <w:rPr>
          <w:rFonts w:hint="eastAsia"/>
          <w:sz w:val="20"/>
          <w:szCs w:val="20"/>
        </w:rPr>
        <w:t>TR 38.828</w:t>
      </w:r>
    </w:p>
    <w:p>
      <w:pPr>
        <w:pStyle w:val="54"/>
        <w:numPr>
          <w:ilvl w:val="0"/>
          <w:numId w:val="6"/>
        </w:numPr>
        <w:rPr>
          <w:sz w:val="20"/>
          <w:szCs w:val="20"/>
        </w:rPr>
      </w:pPr>
      <w:r>
        <w:fldChar w:fldCharType="begin"/>
      </w:r>
      <w:r>
        <w:instrText xml:space="preserve"> HYPERLINK "https://www.3gpp.org/ftp/TSG_RAN/WG4_Radio/TSGR4_108/Docs/R4-2313996.zip" \t "https://portal.3gpp.org/ngppapp/_blank" </w:instrText>
      </w:r>
      <w:r>
        <w:fldChar w:fldCharType="separate"/>
      </w:r>
      <w:r>
        <w:rPr>
          <w:rStyle w:val="30"/>
          <w:rFonts w:ascii="Arial" w:hAnsi="Arial" w:cs="Arial"/>
          <w:color w:val="000000"/>
          <w:sz w:val="18"/>
          <w:szCs w:val="18"/>
        </w:rPr>
        <w:t>R4-2313996</w:t>
      </w:r>
      <w:r>
        <w:rPr>
          <w:rStyle w:val="30"/>
          <w:rFonts w:ascii="Arial" w:hAnsi="Arial" w:cs="Arial"/>
          <w:color w:val="000000"/>
          <w:sz w:val="18"/>
          <w:szCs w:val="18"/>
        </w:rPr>
        <w:fldChar w:fldCharType="end"/>
      </w:r>
      <w:r>
        <w:rPr>
          <w:rFonts w:hint="eastAsia" w:ascii="Arial" w:hAnsi="Arial" w:cs="Arial"/>
          <w:color w:val="000000"/>
          <w:sz w:val="18"/>
          <w:szCs w:val="18"/>
        </w:rPr>
        <w:t>,</w:t>
      </w:r>
      <w:r>
        <w:rPr>
          <w:rFonts w:ascii="Arial" w:hAnsi="Arial" w:cs="Arial"/>
          <w:color w:val="312E25"/>
          <w:sz w:val="18"/>
          <w:szCs w:val="18"/>
        </w:rPr>
        <w:t>WF for SAN RF requirements</w:t>
      </w:r>
      <w:r>
        <w:rPr>
          <w:rFonts w:hint="eastAsia" w:ascii="Arial" w:hAnsi="Arial" w:cs="Arial"/>
          <w:color w:val="312E25"/>
          <w:sz w:val="18"/>
          <w:szCs w:val="18"/>
        </w:rPr>
        <w:t>, Ericsson.</w:t>
      </w:r>
    </w:p>
    <w:p>
      <w:pPr>
        <w:pStyle w:val="54"/>
        <w:numPr>
          <w:ilvl w:val="0"/>
          <w:numId w:val="6"/>
        </w:numPr>
        <w:rPr>
          <w:sz w:val="20"/>
          <w:szCs w:val="20"/>
        </w:rPr>
      </w:pPr>
      <w:r>
        <w:fldChar w:fldCharType="begin"/>
      </w:r>
      <w:r>
        <w:instrText xml:space="preserve"> HYPERLINK "https://www.3gpp.org/ftp/TSG_RAN/WG4_Radio/TSGR4_106/Docs/R4-2302877.zip" \t "https://portal.3gpp.org/ngppapp/_blank" </w:instrText>
      </w:r>
      <w:r>
        <w:fldChar w:fldCharType="separate"/>
      </w:r>
      <w:r>
        <w:rPr>
          <w:rStyle w:val="30"/>
          <w:rFonts w:ascii="Arial" w:hAnsi="Arial" w:cs="Arial"/>
          <w:color w:val="000000"/>
          <w:sz w:val="18"/>
          <w:szCs w:val="18"/>
        </w:rPr>
        <w:t>R4</w:t>
      </w:r>
      <w:r>
        <w:rPr>
          <w:rFonts w:ascii="Arial" w:hAnsi="Arial" w:cs="Arial"/>
          <w:color w:val="000000"/>
          <w:sz w:val="18"/>
          <w:szCs w:val="18"/>
        </w:rPr>
        <w:t>-2302877</w:t>
      </w:r>
      <w:r>
        <w:rPr>
          <w:rFonts w:ascii="Arial" w:hAnsi="Arial" w:cs="Arial"/>
          <w:color w:val="000000"/>
          <w:sz w:val="18"/>
          <w:szCs w:val="18"/>
        </w:rPr>
        <w:fldChar w:fldCharType="end"/>
      </w:r>
      <w:r>
        <w:rPr>
          <w:rFonts w:hint="eastAsia" w:ascii="Arial" w:hAnsi="Arial" w:cs="Arial"/>
          <w:color w:val="000000"/>
          <w:sz w:val="18"/>
          <w:szCs w:val="18"/>
        </w:rPr>
        <w:t>, WF fro SAN RF requirement, Ericsson</w:t>
      </w:r>
    </w:p>
    <w:p>
      <w:pPr>
        <w:numPr>
          <w:ilvl w:val="0"/>
          <w:numId w:val="7"/>
        </w:numPr>
      </w:pPr>
      <w:r>
        <w:t xml:space="preserve">R4-2309770, WF on above 10 GHz SAN RF requirements, CATT, RAN4#107 </w:t>
      </w:r>
    </w:p>
    <w:p>
      <w:pPr>
        <w:numPr>
          <w:ilvl w:val="0"/>
          <w:numId w:val="7"/>
        </w:numPr>
      </w:pPr>
      <w:r>
        <w:fldChar w:fldCharType="begin"/>
      </w:r>
      <w:r>
        <w:instrText xml:space="preserve"> HYPERLINK "https://www.ntia.gov/" </w:instrText>
      </w:r>
      <w:r>
        <w:fldChar w:fldCharType="separate"/>
      </w:r>
      <w:r>
        <w:t>Home Page | National Telecommunications and Information Administration (ntia.gov)</w:t>
      </w:r>
      <w:r>
        <w:fldChar w:fldCharType="end"/>
      </w:r>
    </w:p>
    <w:p>
      <w:pPr>
        <w:numPr>
          <w:ilvl w:val="0"/>
          <w:numId w:val="7"/>
        </w:numPr>
      </w:pPr>
      <w:r>
        <w:fldChar w:fldCharType="begin"/>
      </w:r>
      <w:r>
        <w:instrText xml:space="preserve"> HYPERLINK "ftp://10.10.10.10/ftp/tsg_ran/WG4_Radio/TSGR4_109/Inbox/R4-2321147.zip" </w:instrText>
      </w:r>
      <w:r>
        <w:fldChar w:fldCharType="separate"/>
      </w:r>
      <w:r>
        <w:t>R4-2321147</w:t>
      </w:r>
      <w:r>
        <w:fldChar w:fldCharType="end"/>
      </w:r>
      <w:r>
        <w:rPr>
          <w:lang w:val="en-US" w:eastAsia="zh-CN"/>
        </w:rPr>
        <w:tab/>
      </w:r>
      <w:r>
        <w:t>WF on [109][309] NR_NTN_enh_Part2, Ericsson, Approved.</w:t>
      </w:r>
    </w:p>
    <w:p>
      <w:pPr>
        <w:numPr>
          <w:ilvl w:val="0"/>
          <w:numId w:val="7"/>
        </w:numPr>
      </w:pPr>
      <w:r>
        <w:fldChar w:fldCharType="begin"/>
      </w:r>
      <w:r>
        <w:instrText xml:space="preserve"> HYPERLINK "ftp://10.10.10.10/ftp/tsg_ran/WG4_Radio/TSGR4_109/Inbox/R4-2321146.zip" </w:instrText>
      </w:r>
      <w:r>
        <w:fldChar w:fldCharType="separate"/>
      </w:r>
      <w:r>
        <w:t>R4-2321146</w:t>
      </w:r>
      <w:r>
        <w:fldChar w:fldCharType="end"/>
      </w:r>
      <w:r>
        <w:rPr>
          <w:lang w:val="en-US" w:eastAsia="zh-CN"/>
        </w:rPr>
        <w:tab/>
      </w:r>
      <w:r>
        <w:t>Ad-hoc meeting minutes for [109][309] NR_NTN_enh_Part2</w:t>
      </w:r>
    </w:p>
    <w:p>
      <w:pPr>
        <w:pStyle w:val="54"/>
        <w:numPr>
          <w:ilvl w:val="255"/>
          <w:numId w:val="0"/>
        </w:numPr>
        <w:rPr>
          <w:sz w:val="20"/>
          <w:szCs w:val="20"/>
          <w:lang w:eastAsia="en-GB"/>
        </w:rPr>
      </w:pPr>
    </w:p>
    <w:p>
      <w:pPr>
        <w:pStyle w:val="54"/>
        <w:rPr>
          <w:sz w:val="20"/>
          <w:szCs w:val="20"/>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BC66C8"/>
    <w:multiLevelType w:val="multilevel"/>
    <w:tmpl w:val="07BC66C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50C303F"/>
    <w:multiLevelType w:val="multilevel"/>
    <w:tmpl w:val="150C303F"/>
    <w:lvl w:ilvl="0" w:tentative="0">
      <w:start w:val="1"/>
      <w:numFmt w:val="decimal"/>
      <w:lvlText w:val="%1-"/>
      <w:lvlJc w:val="left"/>
      <w:pPr>
        <w:ind w:left="1200" w:hanging="360"/>
      </w:pPr>
      <w:rPr>
        <w:rFonts w:hint="default"/>
      </w:rPr>
    </w:lvl>
    <w:lvl w:ilvl="1" w:tentative="0">
      <w:start w:val="1"/>
      <w:numFmt w:val="lowerLetter"/>
      <w:lvlText w:val="%2."/>
      <w:lvlJc w:val="left"/>
      <w:pPr>
        <w:ind w:left="1920" w:hanging="360"/>
      </w:pPr>
    </w:lvl>
    <w:lvl w:ilvl="2" w:tentative="0">
      <w:start w:val="1"/>
      <w:numFmt w:val="lowerRoman"/>
      <w:lvlText w:val="%3."/>
      <w:lvlJc w:val="right"/>
      <w:pPr>
        <w:ind w:left="2640" w:hanging="180"/>
      </w:pPr>
    </w:lvl>
    <w:lvl w:ilvl="3" w:tentative="0">
      <w:start w:val="1"/>
      <w:numFmt w:val="decimal"/>
      <w:lvlText w:val="%4."/>
      <w:lvlJc w:val="left"/>
      <w:pPr>
        <w:ind w:left="3360" w:hanging="360"/>
      </w:pPr>
    </w:lvl>
    <w:lvl w:ilvl="4" w:tentative="0">
      <w:start w:val="1"/>
      <w:numFmt w:val="lowerLetter"/>
      <w:lvlText w:val="%5."/>
      <w:lvlJc w:val="left"/>
      <w:pPr>
        <w:ind w:left="4080" w:hanging="360"/>
      </w:pPr>
    </w:lvl>
    <w:lvl w:ilvl="5" w:tentative="0">
      <w:start w:val="1"/>
      <w:numFmt w:val="lowerRoman"/>
      <w:lvlText w:val="%6."/>
      <w:lvlJc w:val="right"/>
      <w:pPr>
        <w:ind w:left="4800" w:hanging="180"/>
      </w:pPr>
    </w:lvl>
    <w:lvl w:ilvl="6" w:tentative="0">
      <w:start w:val="1"/>
      <w:numFmt w:val="decimal"/>
      <w:lvlText w:val="%7."/>
      <w:lvlJc w:val="left"/>
      <w:pPr>
        <w:ind w:left="5520" w:hanging="360"/>
      </w:pPr>
    </w:lvl>
    <w:lvl w:ilvl="7" w:tentative="0">
      <w:start w:val="1"/>
      <w:numFmt w:val="lowerLetter"/>
      <w:lvlText w:val="%8."/>
      <w:lvlJc w:val="left"/>
      <w:pPr>
        <w:ind w:left="6240" w:hanging="360"/>
      </w:pPr>
    </w:lvl>
    <w:lvl w:ilvl="8" w:tentative="0">
      <w:start w:val="1"/>
      <w:numFmt w:val="lowerRoman"/>
      <w:lvlText w:val="%9."/>
      <w:lvlJc w:val="right"/>
      <w:pPr>
        <w:ind w:left="6960" w:hanging="180"/>
      </w:pPr>
    </w:lvl>
  </w:abstractNum>
  <w:abstractNum w:abstractNumId="3">
    <w:nsid w:val="35774281"/>
    <w:multiLevelType w:val="multilevel"/>
    <w:tmpl w:val="357742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1021B91"/>
    <w:multiLevelType w:val="multilevel"/>
    <w:tmpl w:val="41021B91"/>
    <w:lvl w:ilvl="0" w:tentative="0">
      <w:start w:val="1"/>
      <w:numFmt w:val="decimal"/>
      <w:lvlText w:val="[%1]"/>
      <w:lvlJc w:val="left"/>
      <w:pPr>
        <w:ind w:left="461" w:hanging="420"/>
      </w:pPr>
      <w:rPr>
        <w:rFonts w:hint="eastAsia"/>
      </w:rPr>
    </w:lvl>
    <w:lvl w:ilvl="1" w:tentative="0">
      <w:start w:val="1"/>
      <w:numFmt w:val="lowerLetter"/>
      <w:lvlText w:val="%2)"/>
      <w:lvlJc w:val="left"/>
      <w:pPr>
        <w:ind w:left="881" w:hanging="420"/>
      </w:pPr>
    </w:lvl>
    <w:lvl w:ilvl="2" w:tentative="0">
      <w:start w:val="1"/>
      <w:numFmt w:val="lowerRoman"/>
      <w:lvlText w:val="%3."/>
      <w:lvlJc w:val="right"/>
      <w:pPr>
        <w:ind w:left="1301" w:hanging="420"/>
      </w:pPr>
    </w:lvl>
    <w:lvl w:ilvl="3" w:tentative="0">
      <w:start w:val="1"/>
      <w:numFmt w:val="decimal"/>
      <w:lvlText w:val="%4."/>
      <w:lvlJc w:val="left"/>
      <w:pPr>
        <w:ind w:left="1721" w:hanging="420"/>
      </w:pPr>
    </w:lvl>
    <w:lvl w:ilvl="4" w:tentative="0">
      <w:start w:val="1"/>
      <w:numFmt w:val="lowerLetter"/>
      <w:lvlText w:val="%5)"/>
      <w:lvlJc w:val="left"/>
      <w:pPr>
        <w:ind w:left="2141" w:hanging="420"/>
      </w:pPr>
    </w:lvl>
    <w:lvl w:ilvl="5" w:tentative="0">
      <w:start w:val="1"/>
      <w:numFmt w:val="lowerRoman"/>
      <w:lvlText w:val="%6."/>
      <w:lvlJc w:val="right"/>
      <w:pPr>
        <w:ind w:left="2561" w:hanging="420"/>
      </w:pPr>
    </w:lvl>
    <w:lvl w:ilvl="6" w:tentative="0">
      <w:start w:val="1"/>
      <w:numFmt w:val="decimal"/>
      <w:lvlText w:val="%7."/>
      <w:lvlJc w:val="left"/>
      <w:pPr>
        <w:ind w:left="2981" w:hanging="420"/>
      </w:pPr>
    </w:lvl>
    <w:lvl w:ilvl="7" w:tentative="0">
      <w:start w:val="1"/>
      <w:numFmt w:val="lowerLetter"/>
      <w:lvlText w:val="%8)"/>
      <w:lvlJc w:val="left"/>
      <w:pPr>
        <w:ind w:left="3401" w:hanging="420"/>
      </w:pPr>
    </w:lvl>
    <w:lvl w:ilvl="8" w:tentative="0">
      <w:start w:val="1"/>
      <w:numFmt w:val="lowerRoman"/>
      <w:lvlText w:val="%9."/>
      <w:lvlJc w:val="right"/>
      <w:pPr>
        <w:ind w:left="3821" w:hanging="420"/>
      </w:pPr>
    </w:lvl>
  </w:abstractNum>
  <w:abstractNum w:abstractNumId="5">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F11159E"/>
    <w:multiLevelType w:val="multilevel"/>
    <w:tmpl w:val="7F11159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A6C"/>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CD"/>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2E2"/>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74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6FE0"/>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650"/>
    <w:rsid w:val="00583B30"/>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1"/>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8A7"/>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6FF5"/>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6EF"/>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D6B"/>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4A39"/>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77EBE"/>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41"/>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6E7F"/>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AB0"/>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4F7B"/>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820"/>
    <w:rsid w:val="00D23B03"/>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97B5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3F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2DA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39"/>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7348C"/>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8F004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A4112"/>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35A4C"/>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3D1018"/>
    <w:rsid w:val="0444143C"/>
    <w:rsid w:val="0444783F"/>
    <w:rsid w:val="044753DC"/>
    <w:rsid w:val="04527A82"/>
    <w:rsid w:val="045835A5"/>
    <w:rsid w:val="045C0E21"/>
    <w:rsid w:val="045E1DEE"/>
    <w:rsid w:val="045F0F0B"/>
    <w:rsid w:val="045F23BF"/>
    <w:rsid w:val="04605B56"/>
    <w:rsid w:val="04671100"/>
    <w:rsid w:val="046E568E"/>
    <w:rsid w:val="047717D3"/>
    <w:rsid w:val="04786ED3"/>
    <w:rsid w:val="04811E74"/>
    <w:rsid w:val="04856247"/>
    <w:rsid w:val="04865E52"/>
    <w:rsid w:val="048829D4"/>
    <w:rsid w:val="049B40DC"/>
    <w:rsid w:val="04A128B3"/>
    <w:rsid w:val="04C655F6"/>
    <w:rsid w:val="04CD2C67"/>
    <w:rsid w:val="04D66461"/>
    <w:rsid w:val="04D95F6F"/>
    <w:rsid w:val="04DF25CE"/>
    <w:rsid w:val="04E06510"/>
    <w:rsid w:val="04FA66DF"/>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23FA"/>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362D5"/>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71B91"/>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8773B"/>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AC2C44"/>
    <w:rsid w:val="07BE51B2"/>
    <w:rsid w:val="07C329C2"/>
    <w:rsid w:val="07D34041"/>
    <w:rsid w:val="07D54951"/>
    <w:rsid w:val="07D835FB"/>
    <w:rsid w:val="07DD018B"/>
    <w:rsid w:val="07E014BE"/>
    <w:rsid w:val="07E04AA8"/>
    <w:rsid w:val="07E85751"/>
    <w:rsid w:val="07E9538F"/>
    <w:rsid w:val="07ED5339"/>
    <w:rsid w:val="07F6635B"/>
    <w:rsid w:val="07F97CF9"/>
    <w:rsid w:val="0800676F"/>
    <w:rsid w:val="080511A2"/>
    <w:rsid w:val="080F4BCD"/>
    <w:rsid w:val="08171593"/>
    <w:rsid w:val="0828038B"/>
    <w:rsid w:val="0835476E"/>
    <w:rsid w:val="08367FC2"/>
    <w:rsid w:val="08391661"/>
    <w:rsid w:val="084E0029"/>
    <w:rsid w:val="08503C22"/>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3B2D21"/>
    <w:rsid w:val="094109B5"/>
    <w:rsid w:val="09444B9B"/>
    <w:rsid w:val="09467185"/>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A2B08"/>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DC463F"/>
    <w:rsid w:val="09E14486"/>
    <w:rsid w:val="09E4648F"/>
    <w:rsid w:val="09F1407D"/>
    <w:rsid w:val="09F21427"/>
    <w:rsid w:val="09F22A67"/>
    <w:rsid w:val="09FA7018"/>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46F04"/>
    <w:rsid w:val="0B5C18DB"/>
    <w:rsid w:val="0B5C42B3"/>
    <w:rsid w:val="0B5D5C62"/>
    <w:rsid w:val="0B5F215C"/>
    <w:rsid w:val="0B605DE1"/>
    <w:rsid w:val="0B615169"/>
    <w:rsid w:val="0B622E13"/>
    <w:rsid w:val="0B651A68"/>
    <w:rsid w:val="0B717521"/>
    <w:rsid w:val="0B770BF7"/>
    <w:rsid w:val="0B7D58E8"/>
    <w:rsid w:val="0B857CF5"/>
    <w:rsid w:val="0B884E90"/>
    <w:rsid w:val="0B892782"/>
    <w:rsid w:val="0B936E39"/>
    <w:rsid w:val="0B9538BE"/>
    <w:rsid w:val="0B9C0905"/>
    <w:rsid w:val="0B9E13B0"/>
    <w:rsid w:val="0BA50427"/>
    <w:rsid w:val="0BAA0B6D"/>
    <w:rsid w:val="0BB02C8B"/>
    <w:rsid w:val="0BB2460A"/>
    <w:rsid w:val="0BB41A6B"/>
    <w:rsid w:val="0BB41CFB"/>
    <w:rsid w:val="0BB53F3C"/>
    <w:rsid w:val="0BB56122"/>
    <w:rsid w:val="0BC739F0"/>
    <w:rsid w:val="0BD21910"/>
    <w:rsid w:val="0BDA3782"/>
    <w:rsid w:val="0BDB5584"/>
    <w:rsid w:val="0BE03DAA"/>
    <w:rsid w:val="0BE17727"/>
    <w:rsid w:val="0BEC55E4"/>
    <w:rsid w:val="0BF427F9"/>
    <w:rsid w:val="0BF614B9"/>
    <w:rsid w:val="0BF90156"/>
    <w:rsid w:val="0C0B2ABC"/>
    <w:rsid w:val="0C0C632D"/>
    <w:rsid w:val="0C120111"/>
    <w:rsid w:val="0C12447E"/>
    <w:rsid w:val="0C1B68A1"/>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2A2E"/>
    <w:rsid w:val="0CB07BBB"/>
    <w:rsid w:val="0CB471A1"/>
    <w:rsid w:val="0CB90F2E"/>
    <w:rsid w:val="0CBB5A0F"/>
    <w:rsid w:val="0CC22F12"/>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63F4C"/>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81319"/>
    <w:rsid w:val="0E3217E8"/>
    <w:rsid w:val="0E387AA5"/>
    <w:rsid w:val="0E3F0E9A"/>
    <w:rsid w:val="0E400D03"/>
    <w:rsid w:val="0E485C9B"/>
    <w:rsid w:val="0E4B050F"/>
    <w:rsid w:val="0E4D4B22"/>
    <w:rsid w:val="0E5A04BE"/>
    <w:rsid w:val="0E5E2B07"/>
    <w:rsid w:val="0E6A0F47"/>
    <w:rsid w:val="0E7454FD"/>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81DC5"/>
    <w:rsid w:val="0EF82238"/>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2C70"/>
    <w:rsid w:val="0F5075AE"/>
    <w:rsid w:val="0F521719"/>
    <w:rsid w:val="0F571705"/>
    <w:rsid w:val="0F584757"/>
    <w:rsid w:val="0F5B633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676C3"/>
    <w:rsid w:val="0FAD0019"/>
    <w:rsid w:val="0FAD3299"/>
    <w:rsid w:val="0FAD3F5A"/>
    <w:rsid w:val="0FB261C9"/>
    <w:rsid w:val="0FB31343"/>
    <w:rsid w:val="0FC12836"/>
    <w:rsid w:val="0FC427AC"/>
    <w:rsid w:val="0FD95333"/>
    <w:rsid w:val="0FDD44E9"/>
    <w:rsid w:val="0FE0698F"/>
    <w:rsid w:val="0FEA2194"/>
    <w:rsid w:val="0FEA3F98"/>
    <w:rsid w:val="0FEB0378"/>
    <w:rsid w:val="0FEC322B"/>
    <w:rsid w:val="0FEC6EF6"/>
    <w:rsid w:val="10036C5E"/>
    <w:rsid w:val="10045EE6"/>
    <w:rsid w:val="100C1580"/>
    <w:rsid w:val="100D3B17"/>
    <w:rsid w:val="10145447"/>
    <w:rsid w:val="10154FE6"/>
    <w:rsid w:val="10201287"/>
    <w:rsid w:val="1023666E"/>
    <w:rsid w:val="1024103C"/>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A12DB1"/>
    <w:rsid w:val="10B4235C"/>
    <w:rsid w:val="10B7486E"/>
    <w:rsid w:val="10BD429D"/>
    <w:rsid w:val="10C82C2D"/>
    <w:rsid w:val="10CC5735"/>
    <w:rsid w:val="10D679E0"/>
    <w:rsid w:val="10DF786B"/>
    <w:rsid w:val="10F21D50"/>
    <w:rsid w:val="10F33CC1"/>
    <w:rsid w:val="10FA45D2"/>
    <w:rsid w:val="11024527"/>
    <w:rsid w:val="110A4489"/>
    <w:rsid w:val="11106890"/>
    <w:rsid w:val="11150F62"/>
    <w:rsid w:val="111A28E5"/>
    <w:rsid w:val="111E5679"/>
    <w:rsid w:val="11280A27"/>
    <w:rsid w:val="112F54D2"/>
    <w:rsid w:val="1133321C"/>
    <w:rsid w:val="113B29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7F2E3D"/>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12BA4"/>
    <w:rsid w:val="126405F6"/>
    <w:rsid w:val="1265625F"/>
    <w:rsid w:val="127222F3"/>
    <w:rsid w:val="127D422E"/>
    <w:rsid w:val="12845278"/>
    <w:rsid w:val="12863AEA"/>
    <w:rsid w:val="128C036A"/>
    <w:rsid w:val="128E70AD"/>
    <w:rsid w:val="129632DD"/>
    <w:rsid w:val="129D41B7"/>
    <w:rsid w:val="129E1768"/>
    <w:rsid w:val="12A45BB3"/>
    <w:rsid w:val="12A9130F"/>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46AA5"/>
    <w:rsid w:val="130611C7"/>
    <w:rsid w:val="1306326A"/>
    <w:rsid w:val="130C7624"/>
    <w:rsid w:val="130D7CA1"/>
    <w:rsid w:val="131046DE"/>
    <w:rsid w:val="13172F98"/>
    <w:rsid w:val="131B2229"/>
    <w:rsid w:val="131B463A"/>
    <w:rsid w:val="131D12BF"/>
    <w:rsid w:val="131D5DAE"/>
    <w:rsid w:val="13217B01"/>
    <w:rsid w:val="13253FC4"/>
    <w:rsid w:val="132625C2"/>
    <w:rsid w:val="132736B0"/>
    <w:rsid w:val="132A7435"/>
    <w:rsid w:val="13322AD3"/>
    <w:rsid w:val="133B5756"/>
    <w:rsid w:val="134904A6"/>
    <w:rsid w:val="1357258A"/>
    <w:rsid w:val="135845C3"/>
    <w:rsid w:val="135F5E4E"/>
    <w:rsid w:val="135F646D"/>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00F3"/>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9332D7"/>
    <w:rsid w:val="15A4475D"/>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5296C"/>
    <w:rsid w:val="16A65B92"/>
    <w:rsid w:val="16AA56E3"/>
    <w:rsid w:val="16AC6E85"/>
    <w:rsid w:val="16AD0A57"/>
    <w:rsid w:val="16B62BD3"/>
    <w:rsid w:val="16BA18A0"/>
    <w:rsid w:val="16BA7C07"/>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22E57"/>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D49D5"/>
    <w:rsid w:val="17FE0B0A"/>
    <w:rsid w:val="17FE0C9F"/>
    <w:rsid w:val="17FF3C9D"/>
    <w:rsid w:val="180A527C"/>
    <w:rsid w:val="18157481"/>
    <w:rsid w:val="181B3A35"/>
    <w:rsid w:val="182267FD"/>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A410C"/>
    <w:rsid w:val="198C5D06"/>
    <w:rsid w:val="19A7296F"/>
    <w:rsid w:val="19B94DE5"/>
    <w:rsid w:val="19BB7983"/>
    <w:rsid w:val="19CA4702"/>
    <w:rsid w:val="19D01D27"/>
    <w:rsid w:val="19D76F77"/>
    <w:rsid w:val="19DC3901"/>
    <w:rsid w:val="19DE7440"/>
    <w:rsid w:val="19E45BB3"/>
    <w:rsid w:val="19ED386F"/>
    <w:rsid w:val="19EF05A4"/>
    <w:rsid w:val="19F91F18"/>
    <w:rsid w:val="19FF1298"/>
    <w:rsid w:val="1A03072C"/>
    <w:rsid w:val="1A045B87"/>
    <w:rsid w:val="1A1F1382"/>
    <w:rsid w:val="1A203F61"/>
    <w:rsid w:val="1A210157"/>
    <w:rsid w:val="1A2364A1"/>
    <w:rsid w:val="1A296264"/>
    <w:rsid w:val="1A365F00"/>
    <w:rsid w:val="1A402130"/>
    <w:rsid w:val="1A484A02"/>
    <w:rsid w:val="1A4D1CE1"/>
    <w:rsid w:val="1A523A21"/>
    <w:rsid w:val="1A542FA2"/>
    <w:rsid w:val="1A5571F4"/>
    <w:rsid w:val="1A5760FC"/>
    <w:rsid w:val="1A5B0C0F"/>
    <w:rsid w:val="1A5F2F04"/>
    <w:rsid w:val="1A5F7253"/>
    <w:rsid w:val="1A6A0EEA"/>
    <w:rsid w:val="1A6B64C2"/>
    <w:rsid w:val="1A6D22C8"/>
    <w:rsid w:val="1A6E6393"/>
    <w:rsid w:val="1A725418"/>
    <w:rsid w:val="1A7514F8"/>
    <w:rsid w:val="1A7A2EF9"/>
    <w:rsid w:val="1A7F4EDC"/>
    <w:rsid w:val="1A813E2C"/>
    <w:rsid w:val="1A8F2FDB"/>
    <w:rsid w:val="1A93190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AFE5607"/>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25729"/>
    <w:rsid w:val="1B831B2B"/>
    <w:rsid w:val="1B853A57"/>
    <w:rsid w:val="1B9219EE"/>
    <w:rsid w:val="1B944685"/>
    <w:rsid w:val="1B9B3AD0"/>
    <w:rsid w:val="1BA258AE"/>
    <w:rsid w:val="1BA57F07"/>
    <w:rsid w:val="1BAA3905"/>
    <w:rsid w:val="1BB01F6E"/>
    <w:rsid w:val="1BB66991"/>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88552B"/>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25D25"/>
    <w:rsid w:val="1E6703B7"/>
    <w:rsid w:val="1E680B85"/>
    <w:rsid w:val="1E6B2336"/>
    <w:rsid w:val="1E712925"/>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66350"/>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3D55A1"/>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6363F"/>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D0ACE"/>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41DC9"/>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41594"/>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4513"/>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2612A"/>
    <w:rsid w:val="23D33566"/>
    <w:rsid w:val="23D53925"/>
    <w:rsid w:val="23D9762E"/>
    <w:rsid w:val="23DF2C6B"/>
    <w:rsid w:val="23E52298"/>
    <w:rsid w:val="23F06611"/>
    <w:rsid w:val="24090775"/>
    <w:rsid w:val="240A6080"/>
    <w:rsid w:val="240E5D2B"/>
    <w:rsid w:val="24137B5B"/>
    <w:rsid w:val="24176341"/>
    <w:rsid w:val="24194B93"/>
    <w:rsid w:val="241E1F2D"/>
    <w:rsid w:val="24211333"/>
    <w:rsid w:val="242461D7"/>
    <w:rsid w:val="24246A60"/>
    <w:rsid w:val="24255B0A"/>
    <w:rsid w:val="242778EB"/>
    <w:rsid w:val="242A43E1"/>
    <w:rsid w:val="242C04D9"/>
    <w:rsid w:val="242C1177"/>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22571"/>
    <w:rsid w:val="24E57853"/>
    <w:rsid w:val="24E77BE6"/>
    <w:rsid w:val="24F17428"/>
    <w:rsid w:val="250253B9"/>
    <w:rsid w:val="250C5C6A"/>
    <w:rsid w:val="25176627"/>
    <w:rsid w:val="251E0656"/>
    <w:rsid w:val="252053F9"/>
    <w:rsid w:val="252A4786"/>
    <w:rsid w:val="25304AD5"/>
    <w:rsid w:val="25395126"/>
    <w:rsid w:val="254520AA"/>
    <w:rsid w:val="25453885"/>
    <w:rsid w:val="25467DBB"/>
    <w:rsid w:val="25473E3C"/>
    <w:rsid w:val="254C4068"/>
    <w:rsid w:val="254E34FC"/>
    <w:rsid w:val="25515E07"/>
    <w:rsid w:val="25584ADE"/>
    <w:rsid w:val="255E0BEA"/>
    <w:rsid w:val="256343AC"/>
    <w:rsid w:val="25645072"/>
    <w:rsid w:val="256777BF"/>
    <w:rsid w:val="25771B32"/>
    <w:rsid w:val="257B4A2F"/>
    <w:rsid w:val="257C1A72"/>
    <w:rsid w:val="257C76CA"/>
    <w:rsid w:val="257F18B5"/>
    <w:rsid w:val="25805FF5"/>
    <w:rsid w:val="25880457"/>
    <w:rsid w:val="258A3283"/>
    <w:rsid w:val="258E66DC"/>
    <w:rsid w:val="258F15BB"/>
    <w:rsid w:val="259231BD"/>
    <w:rsid w:val="25A61FF9"/>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9C594C"/>
    <w:rsid w:val="26A17EEF"/>
    <w:rsid w:val="26A4288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E43C95"/>
    <w:rsid w:val="27F20EFC"/>
    <w:rsid w:val="27F90522"/>
    <w:rsid w:val="27FE4240"/>
    <w:rsid w:val="280008FF"/>
    <w:rsid w:val="28050D91"/>
    <w:rsid w:val="280A73A7"/>
    <w:rsid w:val="280B0292"/>
    <w:rsid w:val="281035C6"/>
    <w:rsid w:val="2812174D"/>
    <w:rsid w:val="28140E2A"/>
    <w:rsid w:val="2824417F"/>
    <w:rsid w:val="28255041"/>
    <w:rsid w:val="282B1213"/>
    <w:rsid w:val="283832F0"/>
    <w:rsid w:val="283A1E3E"/>
    <w:rsid w:val="283F0B9A"/>
    <w:rsid w:val="284543A1"/>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5A5116"/>
    <w:rsid w:val="296865F6"/>
    <w:rsid w:val="296B20A7"/>
    <w:rsid w:val="297D1A8B"/>
    <w:rsid w:val="29981CF5"/>
    <w:rsid w:val="299C6B98"/>
    <w:rsid w:val="29A4634A"/>
    <w:rsid w:val="29A84DD1"/>
    <w:rsid w:val="29AA2390"/>
    <w:rsid w:val="29B301F6"/>
    <w:rsid w:val="29B85AFC"/>
    <w:rsid w:val="29BB286D"/>
    <w:rsid w:val="29BB74AF"/>
    <w:rsid w:val="29BC2AA4"/>
    <w:rsid w:val="29BF2F72"/>
    <w:rsid w:val="29CD2270"/>
    <w:rsid w:val="29D03220"/>
    <w:rsid w:val="29D0429A"/>
    <w:rsid w:val="29D22D87"/>
    <w:rsid w:val="29D873B9"/>
    <w:rsid w:val="29DA58FD"/>
    <w:rsid w:val="29DB020F"/>
    <w:rsid w:val="29E06591"/>
    <w:rsid w:val="29E64370"/>
    <w:rsid w:val="29E765AE"/>
    <w:rsid w:val="29EB2636"/>
    <w:rsid w:val="29ED4F50"/>
    <w:rsid w:val="29F26903"/>
    <w:rsid w:val="29FC14AA"/>
    <w:rsid w:val="2A01124D"/>
    <w:rsid w:val="2A06427E"/>
    <w:rsid w:val="2A0F1A72"/>
    <w:rsid w:val="2A0F7591"/>
    <w:rsid w:val="2A13176E"/>
    <w:rsid w:val="2A1723D3"/>
    <w:rsid w:val="2A1C361A"/>
    <w:rsid w:val="2A216713"/>
    <w:rsid w:val="2A220953"/>
    <w:rsid w:val="2A222BC6"/>
    <w:rsid w:val="2A2F350E"/>
    <w:rsid w:val="2A3B063B"/>
    <w:rsid w:val="2A3E15CC"/>
    <w:rsid w:val="2A49761F"/>
    <w:rsid w:val="2A4C74B8"/>
    <w:rsid w:val="2A4F133B"/>
    <w:rsid w:val="2A4F49D1"/>
    <w:rsid w:val="2A500712"/>
    <w:rsid w:val="2A564204"/>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2DD3"/>
    <w:rsid w:val="2AAA29AB"/>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C6B23"/>
    <w:rsid w:val="2B164628"/>
    <w:rsid w:val="2B1D6F4B"/>
    <w:rsid w:val="2B2B5653"/>
    <w:rsid w:val="2B2D1363"/>
    <w:rsid w:val="2B306C2A"/>
    <w:rsid w:val="2B335E16"/>
    <w:rsid w:val="2B3429F1"/>
    <w:rsid w:val="2B3B71ED"/>
    <w:rsid w:val="2B42025A"/>
    <w:rsid w:val="2B446AAA"/>
    <w:rsid w:val="2B450516"/>
    <w:rsid w:val="2B4526E2"/>
    <w:rsid w:val="2B4722C4"/>
    <w:rsid w:val="2B592A46"/>
    <w:rsid w:val="2B5B7165"/>
    <w:rsid w:val="2B611B55"/>
    <w:rsid w:val="2B662258"/>
    <w:rsid w:val="2B686C09"/>
    <w:rsid w:val="2B795BD8"/>
    <w:rsid w:val="2B7D25E0"/>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0C4E"/>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9D0020"/>
    <w:rsid w:val="2CBC4209"/>
    <w:rsid w:val="2CC12D54"/>
    <w:rsid w:val="2CC9742A"/>
    <w:rsid w:val="2CCB3003"/>
    <w:rsid w:val="2CD47078"/>
    <w:rsid w:val="2CDA4FDA"/>
    <w:rsid w:val="2CDC7091"/>
    <w:rsid w:val="2CE128DC"/>
    <w:rsid w:val="2CE16D71"/>
    <w:rsid w:val="2CE27F26"/>
    <w:rsid w:val="2CED6828"/>
    <w:rsid w:val="2CF4201A"/>
    <w:rsid w:val="2CFD5C64"/>
    <w:rsid w:val="2D0128E8"/>
    <w:rsid w:val="2D020E41"/>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E15B5"/>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0B103E"/>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54E5E"/>
    <w:rsid w:val="2FAD4759"/>
    <w:rsid w:val="2FAD5866"/>
    <w:rsid w:val="2FB46FC7"/>
    <w:rsid w:val="2FB91323"/>
    <w:rsid w:val="2FC6643E"/>
    <w:rsid w:val="2FCA0967"/>
    <w:rsid w:val="2FCE6A6F"/>
    <w:rsid w:val="2FD7115C"/>
    <w:rsid w:val="2FD84674"/>
    <w:rsid w:val="2FD86B3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13C09"/>
    <w:rsid w:val="31154308"/>
    <w:rsid w:val="31156BE2"/>
    <w:rsid w:val="31197ABC"/>
    <w:rsid w:val="311D5B14"/>
    <w:rsid w:val="312D1F98"/>
    <w:rsid w:val="313A7B85"/>
    <w:rsid w:val="313E22A6"/>
    <w:rsid w:val="31412F85"/>
    <w:rsid w:val="31454E97"/>
    <w:rsid w:val="314A019C"/>
    <w:rsid w:val="314E27D6"/>
    <w:rsid w:val="31514FC5"/>
    <w:rsid w:val="31584385"/>
    <w:rsid w:val="315A1AD4"/>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31FF7"/>
    <w:rsid w:val="31F536F7"/>
    <w:rsid w:val="31FA7AEE"/>
    <w:rsid w:val="31FB60C5"/>
    <w:rsid w:val="3209100C"/>
    <w:rsid w:val="32182058"/>
    <w:rsid w:val="321E250B"/>
    <w:rsid w:val="32226597"/>
    <w:rsid w:val="322A5516"/>
    <w:rsid w:val="322C6DC4"/>
    <w:rsid w:val="3238698E"/>
    <w:rsid w:val="324968A9"/>
    <w:rsid w:val="324C11A1"/>
    <w:rsid w:val="324F1DD8"/>
    <w:rsid w:val="32544043"/>
    <w:rsid w:val="325614E5"/>
    <w:rsid w:val="3259293C"/>
    <w:rsid w:val="325E5514"/>
    <w:rsid w:val="32637AAD"/>
    <w:rsid w:val="32666821"/>
    <w:rsid w:val="326718A4"/>
    <w:rsid w:val="32694229"/>
    <w:rsid w:val="326A18B1"/>
    <w:rsid w:val="326B7BBB"/>
    <w:rsid w:val="3272101B"/>
    <w:rsid w:val="32722131"/>
    <w:rsid w:val="327A3DD6"/>
    <w:rsid w:val="327E6AD8"/>
    <w:rsid w:val="32864FED"/>
    <w:rsid w:val="328B3CA6"/>
    <w:rsid w:val="32946A84"/>
    <w:rsid w:val="329747D6"/>
    <w:rsid w:val="32AF5A06"/>
    <w:rsid w:val="32B22C9D"/>
    <w:rsid w:val="32B47D9A"/>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580CBA"/>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1B94"/>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14435"/>
    <w:rsid w:val="345543D1"/>
    <w:rsid w:val="34564E8B"/>
    <w:rsid w:val="345A1F55"/>
    <w:rsid w:val="345A7367"/>
    <w:rsid w:val="345D2CD0"/>
    <w:rsid w:val="346C0AEA"/>
    <w:rsid w:val="3473748E"/>
    <w:rsid w:val="347F540F"/>
    <w:rsid w:val="34863322"/>
    <w:rsid w:val="34885DB3"/>
    <w:rsid w:val="348F7A0E"/>
    <w:rsid w:val="349A0B7D"/>
    <w:rsid w:val="34A851E8"/>
    <w:rsid w:val="34A94ADA"/>
    <w:rsid w:val="34A97BFE"/>
    <w:rsid w:val="34B51A96"/>
    <w:rsid w:val="34C800BD"/>
    <w:rsid w:val="34C936CD"/>
    <w:rsid w:val="34CC1DC7"/>
    <w:rsid w:val="34D47C8A"/>
    <w:rsid w:val="34D874E5"/>
    <w:rsid w:val="34DB0CAC"/>
    <w:rsid w:val="34DD3DF9"/>
    <w:rsid w:val="34E972FC"/>
    <w:rsid w:val="34F83EF3"/>
    <w:rsid w:val="34F953E0"/>
    <w:rsid w:val="34FF2166"/>
    <w:rsid w:val="350A773D"/>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32A5"/>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D241A"/>
    <w:rsid w:val="363F4D43"/>
    <w:rsid w:val="3640112F"/>
    <w:rsid w:val="36407BF2"/>
    <w:rsid w:val="36486576"/>
    <w:rsid w:val="364A08D8"/>
    <w:rsid w:val="364B2312"/>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A460F"/>
    <w:rsid w:val="36B121C7"/>
    <w:rsid w:val="36B2486C"/>
    <w:rsid w:val="36B307B1"/>
    <w:rsid w:val="36BA14F4"/>
    <w:rsid w:val="36C45C2A"/>
    <w:rsid w:val="36CC1D62"/>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574CD"/>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32C65"/>
    <w:rsid w:val="38E45926"/>
    <w:rsid w:val="38E46191"/>
    <w:rsid w:val="38EB7945"/>
    <w:rsid w:val="38EC260C"/>
    <w:rsid w:val="38F50C85"/>
    <w:rsid w:val="39065A02"/>
    <w:rsid w:val="39105718"/>
    <w:rsid w:val="392B6A4C"/>
    <w:rsid w:val="393232FB"/>
    <w:rsid w:val="393544DD"/>
    <w:rsid w:val="39385984"/>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A90F14"/>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B2BD3"/>
    <w:rsid w:val="39EC7454"/>
    <w:rsid w:val="39F07D03"/>
    <w:rsid w:val="39FD2FB3"/>
    <w:rsid w:val="3A026596"/>
    <w:rsid w:val="3A060946"/>
    <w:rsid w:val="3A082ABE"/>
    <w:rsid w:val="3A0A6393"/>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2F1534"/>
    <w:rsid w:val="3B3A132E"/>
    <w:rsid w:val="3B451A16"/>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0131"/>
    <w:rsid w:val="3BA35FC1"/>
    <w:rsid w:val="3BA566FD"/>
    <w:rsid w:val="3BA66AED"/>
    <w:rsid w:val="3BA7008A"/>
    <w:rsid w:val="3BAF052C"/>
    <w:rsid w:val="3BB40DC9"/>
    <w:rsid w:val="3BB47D9F"/>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2F0CFE"/>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97A05"/>
    <w:rsid w:val="3CAA38C3"/>
    <w:rsid w:val="3CAA5481"/>
    <w:rsid w:val="3CAC1109"/>
    <w:rsid w:val="3CB338D6"/>
    <w:rsid w:val="3CB36CF4"/>
    <w:rsid w:val="3CB61240"/>
    <w:rsid w:val="3CB64C55"/>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572F9"/>
    <w:rsid w:val="3E197897"/>
    <w:rsid w:val="3E200DA8"/>
    <w:rsid w:val="3E220E05"/>
    <w:rsid w:val="3E22755F"/>
    <w:rsid w:val="3E237BCC"/>
    <w:rsid w:val="3E255AC9"/>
    <w:rsid w:val="3E2B3C35"/>
    <w:rsid w:val="3E3419DC"/>
    <w:rsid w:val="3E3C5F3C"/>
    <w:rsid w:val="3E3D346D"/>
    <w:rsid w:val="3E3E306A"/>
    <w:rsid w:val="3E454B0D"/>
    <w:rsid w:val="3E463CA5"/>
    <w:rsid w:val="3E4B2DC3"/>
    <w:rsid w:val="3E535A69"/>
    <w:rsid w:val="3E583BB7"/>
    <w:rsid w:val="3E5A1D01"/>
    <w:rsid w:val="3E5B12DC"/>
    <w:rsid w:val="3E623E46"/>
    <w:rsid w:val="3E63159D"/>
    <w:rsid w:val="3E667FB0"/>
    <w:rsid w:val="3E680BF1"/>
    <w:rsid w:val="3E775CB6"/>
    <w:rsid w:val="3E780453"/>
    <w:rsid w:val="3E7A1C88"/>
    <w:rsid w:val="3E836D6C"/>
    <w:rsid w:val="3E837966"/>
    <w:rsid w:val="3E844725"/>
    <w:rsid w:val="3E8B095A"/>
    <w:rsid w:val="3E8D66A1"/>
    <w:rsid w:val="3E8E6C82"/>
    <w:rsid w:val="3E942719"/>
    <w:rsid w:val="3E943FDD"/>
    <w:rsid w:val="3E95645F"/>
    <w:rsid w:val="3E9A19C5"/>
    <w:rsid w:val="3E9E1F00"/>
    <w:rsid w:val="3E9E3078"/>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D0662"/>
    <w:rsid w:val="3F0572F1"/>
    <w:rsid w:val="3F144192"/>
    <w:rsid w:val="3F1871AF"/>
    <w:rsid w:val="3F206E95"/>
    <w:rsid w:val="3F217DDA"/>
    <w:rsid w:val="3F2B184D"/>
    <w:rsid w:val="3F2C36BA"/>
    <w:rsid w:val="3F2C7646"/>
    <w:rsid w:val="3F2F01F0"/>
    <w:rsid w:val="3F3C6744"/>
    <w:rsid w:val="3F3D63DE"/>
    <w:rsid w:val="3F421D47"/>
    <w:rsid w:val="3F441B08"/>
    <w:rsid w:val="3F4A4087"/>
    <w:rsid w:val="3F5361F5"/>
    <w:rsid w:val="3F556D23"/>
    <w:rsid w:val="3F6B3632"/>
    <w:rsid w:val="3F742249"/>
    <w:rsid w:val="3F776E0A"/>
    <w:rsid w:val="3F7B0DE5"/>
    <w:rsid w:val="3F8978E2"/>
    <w:rsid w:val="3F9449B7"/>
    <w:rsid w:val="3F952814"/>
    <w:rsid w:val="3F9C0821"/>
    <w:rsid w:val="3F9C213C"/>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86FBC"/>
    <w:rsid w:val="407A5C67"/>
    <w:rsid w:val="407B4FD0"/>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555B3"/>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7E67F6"/>
    <w:rsid w:val="438042AD"/>
    <w:rsid w:val="43837C39"/>
    <w:rsid w:val="438B6310"/>
    <w:rsid w:val="439322F0"/>
    <w:rsid w:val="43964600"/>
    <w:rsid w:val="4397231A"/>
    <w:rsid w:val="439C3431"/>
    <w:rsid w:val="439D0E7C"/>
    <w:rsid w:val="43A26A83"/>
    <w:rsid w:val="43A41643"/>
    <w:rsid w:val="43B30A21"/>
    <w:rsid w:val="43B329A6"/>
    <w:rsid w:val="43C0281C"/>
    <w:rsid w:val="43C02B26"/>
    <w:rsid w:val="43D10A40"/>
    <w:rsid w:val="43D67A91"/>
    <w:rsid w:val="43E21F58"/>
    <w:rsid w:val="43E35EF0"/>
    <w:rsid w:val="43F71BCF"/>
    <w:rsid w:val="43F76F69"/>
    <w:rsid w:val="43F90FED"/>
    <w:rsid w:val="43F95E6E"/>
    <w:rsid w:val="43FC0DB2"/>
    <w:rsid w:val="44001C67"/>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CC2F13"/>
    <w:rsid w:val="44D31B1E"/>
    <w:rsid w:val="44D96EF4"/>
    <w:rsid w:val="44DF6F1B"/>
    <w:rsid w:val="44E54BDC"/>
    <w:rsid w:val="44E92DF3"/>
    <w:rsid w:val="44EC2F87"/>
    <w:rsid w:val="44F82D0E"/>
    <w:rsid w:val="450174D5"/>
    <w:rsid w:val="451C5E9C"/>
    <w:rsid w:val="45214561"/>
    <w:rsid w:val="452C5F0A"/>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D445E"/>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8C41E0"/>
    <w:rsid w:val="479766B4"/>
    <w:rsid w:val="479A2857"/>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C218B"/>
    <w:rsid w:val="48F04BA1"/>
    <w:rsid w:val="48F447F8"/>
    <w:rsid w:val="48FA05B4"/>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203C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9562D"/>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40EEE"/>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8E091A"/>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434AF"/>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144DF"/>
    <w:rsid w:val="4E2C6A36"/>
    <w:rsid w:val="4E3A2C21"/>
    <w:rsid w:val="4E412A4D"/>
    <w:rsid w:val="4E4475F5"/>
    <w:rsid w:val="4E587463"/>
    <w:rsid w:val="4E5A3449"/>
    <w:rsid w:val="4E5A5499"/>
    <w:rsid w:val="4E656FCA"/>
    <w:rsid w:val="4E68543B"/>
    <w:rsid w:val="4E6906EE"/>
    <w:rsid w:val="4E694E99"/>
    <w:rsid w:val="4E6D1740"/>
    <w:rsid w:val="4E7125DA"/>
    <w:rsid w:val="4E745BD0"/>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51B3B"/>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323B0"/>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4E7F07"/>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35BC2"/>
    <w:rsid w:val="5239194F"/>
    <w:rsid w:val="524D342E"/>
    <w:rsid w:val="524E54BD"/>
    <w:rsid w:val="5257696B"/>
    <w:rsid w:val="525D4BC4"/>
    <w:rsid w:val="52612620"/>
    <w:rsid w:val="526325FA"/>
    <w:rsid w:val="526478E1"/>
    <w:rsid w:val="526A1A2F"/>
    <w:rsid w:val="526A546C"/>
    <w:rsid w:val="52730AFE"/>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D753B"/>
    <w:rsid w:val="532F6301"/>
    <w:rsid w:val="533E0346"/>
    <w:rsid w:val="534246C3"/>
    <w:rsid w:val="53477D18"/>
    <w:rsid w:val="53495ACD"/>
    <w:rsid w:val="534D1493"/>
    <w:rsid w:val="534E11CE"/>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605E0"/>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5504E"/>
    <w:rsid w:val="540A0F22"/>
    <w:rsid w:val="541942B6"/>
    <w:rsid w:val="541A40BD"/>
    <w:rsid w:val="541F38E3"/>
    <w:rsid w:val="542A1803"/>
    <w:rsid w:val="542A3FEF"/>
    <w:rsid w:val="542A5504"/>
    <w:rsid w:val="542F7A60"/>
    <w:rsid w:val="54346136"/>
    <w:rsid w:val="54525BFB"/>
    <w:rsid w:val="5452765B"/>
    <w:rsid w:val="54550067"/>
    <w:rsid w:val="54580F5A"/>
    <w:rsid w:val="545E2F7B"/>
    <w:rsid w:val="5465054B"/>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21F52"/>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570AA"/>
    <w:rsid w:val="556C1CC4"/>
    <w:rsid w:val="55712540"/>
    <w:rsid w:val="55731953"/>
    <w:rsid w:val="55743D64"/>
    <w:rsid w:val="5577741D"/>
    <w:rsid w:val="557C7C08"/>
    <w:rsid w:val="558126EC"/>
    <w:rsid w:val="55851522"/>
    <w:rsid w:val="55883323"/>
    <w:rsid w:val="55883669"/>
    <w:rsid w:val="558A44CE"/>
    <w:rsid w:val="559038CD"/>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E4F7B"/>
    <w:rsid w:val="56840A2D"/>
    <w:rsid w:val="568D0940"/>
    <w:rsid w:val="56902B88"/>
    <w:rsid w:val="56927DA4"/>
    <w:rsid w:val="56A032E3"/>
    <w:rsid w:val="56A04928"/>
    <w:rsid w:val="56A418DC"/>
    <w:rsid w:val="56A50007"/>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90749"/>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A5A5F"/>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1444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4A8D"/>
    <w:rsid w:val="58B156C4"/>
    <w:rsid w:val="58B80220"/>
    <w:rsid w:val="58B8443B"/>
    <w:rsid w:val="58B92428"/>
    <w:rsid w:val="58BC4002"/>
    <w:rsid w:val="58C47A68"/>
    <w:rsid w:val="58C6178A"/>
    <w:rsid w:val="58D720A4"/>
    <w:rsid w:val="58DB456A"/>
    <w:rsid w:val="58DB78BC"/>
    <w:rsid w:val="58E909DD"/>
    <w:rsid w:val="58EB1C90"/>
    <w:rsid w:val="58EE536D"/>
    <w:rsid w:val="58F57D12"/>
    <w:rsid w:val="59094784"/>
    <w:rsid w:val="590F49CC"/>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7F6A0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02E4C"/>
    <w:rsid w:val="59D906FD"/>
    <w:rsid w:val="59D96DAD"/>
    <w:rsid w:val="59DA6C9E"/>
    <w:rsid w:val="59E11C9B"/>
    <w:rsid w:val="59E143BA"/>
    <w:rsid w:val="59EB0D06"/>
    <w:rsid w:val="59F32024"/>
    <w:rsid w:val="59F445EA"/>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54166"/>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14704"/>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0F0720"/>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88203D"/>
    <w:rsid w:val="5EA36A9B"/>
    <w:rsid w:val="5EA648E2"/>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B4891"/>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40B9D"/>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562A9"/>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C1B6B"/>
    <w:rsid w:val="624F0394"/>
    <w:rsid w:val="62590ABF"/>
    <w:rsid w:val="625A29D8"/>
    <w:rsid w:val="625B2CDA"/>
    <w:rsid w:val="625B47C2"/>
    <w:rsid w:val="62630C6B"/>
    <w:rsid w:val="627301E8"/>
    <w:rsid w:val="62920187"/>
    <w:rsid w:val="6295194F"/>
    <w:rsid w:val="6299295E"/>
    <w:rsid w:val="629A07BC"/>
    <w:rsid w:val="62A33CA7"/>
    <w:rsid w:val="62B754A9"/>
    <w:rsid w:val="62B94634"/>
    <w:rsid w:val="62BA3B2B"/>
    <w:rsid w:val="62C132E9"/>
    <w:rsid w:val="62C37511"/>
    <w:rsid w:val="62C666F6"/>
    <w:rsid w:val="62D11C3F"/>
    <w:rsid w:val="62D35D1C"/>
    <w:rsid w:val="62D67D61"/>
    <w:rsid w:val="62D777AF"/>
    <w:rsid w:val="62DA4F94"/>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03F5C"/>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13F6F"/>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35C55"/>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8C1D9E"/>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A0CA3"/>
    <w:rsid w:val="675A17FE"/>
    <w:rsid w:val="67617AF0"/>
    <w:rsid w:val="67627B2A"/>
    <w:rsid w:val="676364F9"/>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83AD1"/>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B082C"/>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095C"/>
    <w:rsid w:val="69A966F8"/>
    <w:rsid w:val="69AC0B64"/>
    <w:rsid w:val="69B27491"/>
    <w:rsid w:val="69B27C94"/>
    <w:rsid w:val="69BA2288"/>
    <w:rsid w:val="69BB7CE2"/>
    <w:rsid w:val="69C85649"/>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1F2E08"/>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256EA"/>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43213"/>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4C74D5"/>
    <w:rsid w:val="6C505966"/>
    <w:rsid w:val="6C5D04BB"/>
    <w:rsid w:val="6C65329A"/>
    <w:rsid w:val="6C666C3C"/>
    <w:rsid w:val="6C6833E1"/>
    <w:rsid w:val="6C726F5A"/>
    <w:rsid w:val="6C751A38"/>
    <w:rsid w:val="6C7707E9"/>
    <w:rsid w:val="6C882F2E"/>
    <w:rsid w:val="6C8E4315"/>
    <w:rsid w:val="6C9237AF"/>
    <w:rsid w:val="6C95615F"/>
    <w:rsid w:val="6CA94419"/>
    <w:rsid w:val="6CB242A2"/>
    <w:rsid w:val="6CC818AD"/>
    <w:rsid w:val="6CCE2DF8"/>
    <w:rsid w:val="6CD944B7"/>
    <w:rsid w:val="6CE0612A"/>
    <w:rsid w:val="6CE269D3"/>
    <w:rsid w:val="6CEC448A"/>
    <w:rsid w:val="6CED284E"/>
    <w:rsid w:val="6CED3DB2"/>
    <w:rsid w:val="6CF04EB7"/>
    <w:rsid w:val="6CF17872"/>
    <w:rsid w:val="6CF506A5"/>
    <w:rsid w:val="6CF76712"/>
    <w:rsid w:val="6CFD23D1"/>
    <w:rsid w:val="6D033EFD"/>
    <w:rsid w:val="6D0652BF"/>
    <w:rsid w:val="6D0A7734"/>
    <w:rsid w:val="6D0B0E35"/>
    <w:rsid w:val="6D0D6D19"/>
    <w:rsid w:val="6D273B17"/>
    <w:rsid w:val="6D274676"/>
    <w:rsid w:val="6D2D5212"/>
    <w:rsid w:val="6D2F4B50"/>
    <w:rsid w:val="6D374EDB"/>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ED0B13"/>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06B13"/>
    <w:rsid w:val="6E7106EF"/>
    <w:rsid w:val="6E72570E"/>
    <w:rsid w:val="6E785A45"/>
    <w:rsid w:val="6E796FC0"/>
    <w:rsid w:val="6E7D179C"/>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477C8"/>
    <w:rsid w:val="70065F3C"/>
    <w:rsid w:val="700C0460"/>
    <w:rsid w:val="70114B39"/>
    <w:rsid w:val="701458A7"/>
    <w:rsid w:val="70152C7C"/>
    <w:rsid w:val="70170F2B"/>
    <w:rsid w:val="701830B7"/>
    <w:rsid w:val="701C3A0F"/>
    <w:rsid w:val="701E2FAB"/>
    <w:rsid w:val="701E641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842379"/>
    <w:rsid w:val="708F070C"/>
    <w:rsid w:val="70910C43"/>
    <w:rsid w:val="70992BBC"/>
    <w:rsid w:val="709E4E34"/>
    <w:rsid w:val="709E640C"/>
    <w:rsid w:val="70A106DA"/>
    <w:rsid w:val="70A156F4"/>
    <w:rsid w:val="70AC0E63"/>
    <w:rsid w:val="70AD5CCA"/>
    <w:rsid w:val="70AF55CD"/>
    <w:rsid w:val="70B56633"/>
    <w:rsid w:val="70BB0D3E"/>
    <w:rsid w:val="70BF0AF0"/>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7317D"/>
    <w:rsid w:val="710B03C6"/>
    <w:rsid w:val="710C1678"/>
    <w:rsid w:val="711604AB"/>
    <w:rsid w:val="712762EB"/>
    <w:rsid w:val="712D2ADB"/>
    <w:rsid w:val="712D4159"/>
    <w:rsid w:val="71346CB6"/>
    <w:rsid w:val="7135174F"/>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A83B7A"/>
    <w:rsid w:val="72B23B41"/>
    <w:rsid w:val="72B751B8"/>
    <w:rsid w:val="72C221EC"/>
    <w:rsid w:val="72CE3184"/>
    <w:rsid w:val="72CE41F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4E1729"/>
    <w:rsid w:val="73510529"/>
    <w:rsid w:val="73574996"/>
    <w:rsid w:val="73594121"/>
    <w:rsid w:val="735C705A"/>
    <w:rsid w:val="736411CC"/>
    <w:rsid w:val="73690216"/>
    <w:rsid w:val="736A02D8"/>
    <w:rsid w:val="736C1945"/>
    <w:rsid w:val="7376576F"/>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C4BC7"/>
    <w:rsid w:val="74215D04"/>
    <w:rsid w:val="74257C35"/>
    <w:rsid w:val="742A0965"/>
    <w:rsid w:val="742A400C"/>
    <w:rsid w:val="742B75B7"/>
    <w:rsid w:val="742D019C"/>
    <w:rsid w:val="742D6DB6"/>
    <w:rsid w:val="742E6655"/>
    <w:rsid w:val="742E74D7"/>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33B88"/>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3F5877"/>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898"/>
    <w:rsid w:val="76A652D8"/>
    <w:rsid w:val="76AF378A"/>
    <w:rsid w:val="76B153BA"/>
    <w:rsid w:val="76BE7B18"/>
    <w:rsid w:val="76BF40F9"/>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5B4F33"/>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356A"/>
    <w:rsid w:val="78620E7C"/>
    <w:rsid w:val="787659AD"/>
    <w:rsid w:val="788446BE"/>
    <w:rsid w:val="7888219B"/>
    <w:rsid w:val="78887070"/>
    <w:rsid w:val="788908C8"/>
    <w:rsid w:val="789363A8"/>
    <w:rsid w:val="78993306"/>
    <w:rsid w:val="789B44F7"/>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068FE"/>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500E6"/>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74FCC"/>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331A9"/>
    <w:rsid w:val="7AE55787"/>
    <w:rsid w:val="7AE833BC"/>
    <w:rsid w:val="7AEB2619"/>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A59FB"/>
    <w:rsid w:val="7B4E09BF"/>
    <w:rsid w:val="7B546C0C"/>
    <w:rsid w:val="7B603C7C"/>
    <w:rsid w:val="7B65590F"/>
    <w:rsid w:val="7B6E2AB1"/>
    <w:rsid w:val="7B727F49"/>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EC1C64"/>
    <w:rsid w:val="7BF11348"/>
    <w:rsid w:val="7BF542FE"/>
    <w:rsid w:val="7BFF0642"/>
    <w:rsid w:val="7C025EFA"/>
    <w:rsid w:val="7C056E44"/>
    <w:rsid w:val="7C0E7D8C"/>
    <w:rsid w:val="7C206952"/>
    <w:rsid w:val="7C2D1C60"/>
    <w:rsid w:val="7C3832F5"/>
    <w:rsid w:val="7C42281E"/>
    <w:rsid w:val="7C472DAB"/>
    <w:rsid w:val="7C4E3D85"/>
    <w:rsid w:val="7C550FEC"/>
    <w:rsid w:val="7C574C21"/>
    <w:rsid w:val="7C610C91"/>
    <w:rsid w:val="7C613AEC"/>
    <w:rsid w:val="7C655448"/>
    <w:rsid w:val="7C6E7E2C"/>
    <w:rsid w:val="7C734075"/>
    <w:rsid w:val="7C7468D9"/>
    <w:rsid w:val="7C773CA6"/>
    <w:rsid w:val="7C815D2A"/>
    <w:rsid w:val="7C831756"/>
    <w:rsid w:val="7C840753"/>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63E59"/>
    <w:rsid w:val="7D69117D"/>
    <w:rsid w:val="7D696CB2"/>
    <w:rsid w:val="7D6F06CE"/>
    <w:rsid w:val="7D7A555A"/>
    <w:rsid w:val="7D7F5298"/>
    <w:rsid w:val="7D8362BA"/>
    <w:rsid w:val="7D8B7B11"/>
    <w:rsid w:val="7DA843EE"/>
    <w:rsid w:val="7DA948C4"/>
    <w:rsid w:val="7DAB10BD"/>
    <w:rsid w:val="7DBE609A"/>
    <w:rsid w:val="7DBF2E7A"/>
    <w:rsid w:val="7DC266E0"/>
    <w:rsid w:val="7DCC7A63"/>
    <w:rsid w:val="7DD7657D"/>
    <w:rsid w:val="7DDA6C39"/>
    <w:rsid w:val="7DDD2B2D"/>
    <w:rsid w:val="7DE15552"/>
    <w:rsid w:val="7DE16744"/>
    <w:rsid w:val="7DE653AB"/>
    <w:rsid w:val="7DEB2C44"/>
    <w:rsid w:val="7DF464FC"/>
    <w:rsid w:val="7DFE63E1"/>
    <w:rsid w:val="7E006A11"/>
    <w:rsid w:val="7E043ED9"/>
    <w:rsid w:val="7E0604A7"/>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2780"/>
    <w:rsid w:val="7F3A44DE"/>
    <w:rsid w:val="7F3A7611"/>
    <w:rsid w:val="7F3B01C9"/>
    <w:rsid w:val="7F4A17F6"/>
    <w:rsid w:val="7F517AAF"/>
    <w:rsid w:val="7F536DE1"/>
    <w:rsid w:val="7F6339F7"/>
    <w:rsid w:val="7F6906C7"/>
    <w:rsid w:val="7F8660CD"/>
    <w:rsid w:val="7F8A2E2C"/>
    <w:rsid w:val="7F963419"/>
    <w:rsid w:val="7F98528E"/>
    <w:rsid w:val="7FA069EC"/>
    <w:rsid w:val="7FB422D4"/>
    <w:rsid w:val="7FD277AE"/>
    <w:rsid w:val="7FDA2CD0"/>
    <w:rsid w:val="7FDB769F"/>
    <w:rsid w:val="7FE312A1"/>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tabs>
        <w:tab w:val="left" w:pos="2144"/>
        <w:tab w:val="left" w:pos="2288"/>
      </w:tabs>
      <w:ind w:left="2288" w:hanging="1152"/>
      <w:outlineLvl w:val="5"/>
    </w:p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字符"/>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标题 8 字符"/>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标题 9 字符"/>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字符"/>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标题 4 字符"/>
    <w:link w:val="5"/>
    <w:qFormat/>
    <w:uiPriority w:val="0"/>
    <w:rPr>
      <w:rFonts w:ascii="Arial" w:hAnsi="Arial" w:eastAsia="宋体"/>
      <w:sz w:val="24"/>
      <w:lang w:val="en-GB" w:eastAsia="en-US"/>
    </w:rPr>
  </w:style>
  <w:style w:type="character" w:customStyle="1" w:styleId="78">
    <w:name w:val="批注框文本 字符"/>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页眉 字符"/>
    <w:link w:val="18"/>
    <w:qFormat/>
    <w:uiPriority w:val="99"/>
    <w:rPr>
      <w:sz w:val="18"/>
      <w:szCs w:val="18"/>
    </w:rPr>
  </w:style>
  <w:style w:type="character" w:customStyle="1" w:styleId="81">
    <w:name w:val="文档结构图 字符"/>
    <w:link w:val="13"/>
    <w:semiHidden/>
    <w:qFormat/>
    <w:uiPriority w:val="99"/>
    <w:rPr>
      <w:rFonts w:ascii="宋体" w:eastAsia="宋体"/>
      <w:sz w:val="18"/>
      <w:szCs w:val="18"/>
    </w:rPr>
  </w:style>
  <w:style w:type="character" w:customStyle="1" w:styleId="82">
    <w:name w:val="标题 7 字符"/>
    <w:link w:val="9"/>
    <w:qFormat/>
    <w:uiPriority w:val="0"/>
    <w:rPr>
      <w:rFonts w:ascii="Arial" w:hAnsi="Arial" w:eastAsia="宋体"/>
      <w:lang w:val="en-GB" w:eastAsia="en-US"/>
    </w:rPr>
  </w:style>
  <w:style w:type="character" w:customStyle="1" w:styleId="83">
    <w:name w:val="标题 1 字符"/>
    <w:link w:val="2"/>
    <w:qFormat/>
    <w:uiPriority w:val="9"/>
    <w:rPr>
      <w:rFonts w:ascii="Cambria" w:hAnsi="Cambria" w:eastAsia="宋体" w:cs="Times New Roman"/>
      <w:b/>
      <w:bCs/>
      <w:kern w:val="32"/>
      <w:sz w:val="32"/>
      <w:szCs w:val="32"/>
      <w:lang w:val="en-US"/>
    </w:rPr>
  </w:style>
  <w:style w:type="character" w:customStyle="1" w:styleId="84">
    <w:name w:val="页脚 字符"/>
    <w:link w:val="17"/>
    <w:qFormat/>
    <w:uiPriority w:val="99"/>
    <w:rPr>
      <w:sz w:val="18"/>
      <w:szCs w:val="18"/>
    </w:rPr>
  </w:style>
  <w:style w:type="character" w:customStyle="1" w:styleId="85">
    <w:name w:val="批注主题 字符"/>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字符"/>
    <w:link w:val="3"/>
    <w:qFormat/>
    <w:uiPriority w:val="0"/>
    <w:rPr>
      <w:rFonts w:ascii="Arial" w:hAnsi="Arial"/>
      <w:sz w:val="32"/>
      <w:lang w:eastAsia="en-US"/>
    </w:rPr>
  </w:style>
  <w:style w:type="character" w:customStyle="1" w:styleId="88">
    <w:name w:val="标题 5 字符"/>
    <w:link w:val="6"/>
    <w:qFormat/>
    <w:uiPriority w:val="0"/>
    <w:rPr>
      <w:rFonts w:ascii="Arial" w:hAnsi="Arial" w:eastAsia="宋体"/>
      <w:sz w:val="22"/>
      <w:lang w:val="en-GB" w:eastAsia="en-US"/>
    </w:rPr>
  </w:style>
  <w:style w:type="character" w:customStyle="1" w:styleId="89">
    <w:name w:val="标题 3 字符"/>
    <w:link w:val="4"/>
    <w:qFormat/>
    <w:uiPriority w:val="0"/>
    <w:rPr>
      <w:rFonts w:ascii="Arial" w:hAnsi="Arial"/>
      <w:sz w:val="28"/>
      <w:lang w:eastAsia="en-US"/>
    </w:rPr>
  </w:style>
  <w:style w:type="character" w:customStyle="1" w:styleId="90">
    <w:name w:val="批注文字 字符"/>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2.bin"/><Relationship Id="rId13" Type="http://schemas.openxmlformats.org/officeDocument/2006/relationships/image" Target="media/image6.w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693B1-D090-4A50-AAE3-AB6D981C379B}">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625</Words>
  <Characters>3564</Characters>
  <Lines>29</Lines>
  <Paragraphs>8</Paragraphs>
  <TotalTime>0</TotalTime>
  <ScaleCrop>false</ScaleCrop>
  <LinksUpToDate>false</LinksUpToDate>
  <CharactersWithSpaces>4181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2024-02-19T16:28:55Z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